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NET 24.2.0 -->
  <w:body>
    <w:p w:rsidR="00D92968" w:rsidRPr="003B2CAE" w:rsidP="00D9425D" w14:paraId="39ADB174" w14:textId="77777777">
      <w:pPr>
        <w:pStyle w:val="Heading1"/>
      </w:pPr>
      <w:bookmarkStart w:id="0" w:name="_Toc256000000"/>
      <w:bookmarkStart w:id="1" w:name="_Toc256000001"/>
      <w:bookmarkStart w:id="2" w:name="_Toc502751879"/>
      <w:bookmarkStart w:id="3" w:name="_Toc502836630"/>
      <w:bookmarkStart w:id="4" w:name="_Toc256000063"/>
      <w:bookmarkStart w:id="5" w:name="_Toc256000058"/>
      <w:bookmarkStart w:id="6" w:name="_Toc256000053"/>
      <w:bookmarkStart w:id="7" w:name="_Toc256000048"/>
      <w:bookmarkStart w:id="8" w:name="_Toc256000043"/>
      <w:bookmarkStart w:id="9" w:name="_Toc256000038"/>
      <w:bookmarkStart w:id="10" w:name="_Toc256000033"/>
      <w:bookmarkStart w:id="11" w:name="_Toc256000028"/>
      <w:bookmarkStart w:id="12" w:name="_Toc256000023"/>
      <w:bookmarkStart w:id="13" w:name="_Toc256000018"/>
      <w:bookmarkStart w:id="14" w:name="_Toc256000013"/>
      <w:bookmarkStart w:id="15" w:name="_Toc256000008"/>
      <w:bookmarkStart w:id="16" w:name="_Toc256000003"/>
      <w:bookmarkStart w:id="17" w:name="_Toc436311627"/>
      <w:bookmarkStart w:id="18" w:name="_Toc474310953"/>
      <w:bookmarkStart w:id="19" w:name="_Ref502739081"/>
      <w:bookmarkStart w:id="20" w:name="_Toc502739281"/>
      <w:r w:rsidRPr="003B2CAE">
        <w:t>Einleitung</w:t>
      </w:r>
    </w:p>
    <w:p w:rsidR="001767AC" w:rsidRPr="003B2CAE" w:rsidP="00D92968" w14:paraId="577D732D" w14:textId="77777777">
      <w:r w:rsidRPr="003B2CAE">
        <w:t>Gegenstand diese</w:t>
      </w:r>
      <w:r w:rsidRPr="003B2CAE" w:rsidR="009B609E">
        <w:t>r</w:t>
      </w:r>
      <w:r w:rsidRPr="003B2CAE">
        <w:t xml:space="preserve"> </w:t>
      </w:r>
      <w:r w:rsidRPr="003B2CAE" w:rsidR="00D359C8">
        <w:t xml:space="preserve">Verfahrensbeschreibung </w:t>
      </w:r>
      <w:r w:rsidRPr="003B2CAE">
        <w:t xml:space="preserve">ist die </w:t>
      </w:r>
      <w:r w:rsidRPr="003B2CAE" w:rsidR="00D359C8">
        <w:t xml:space="preserve">Darstellung </w:t>
      </w:r>
      <w:r w:rsidRPr="003B2CAE">
        <w:t>des Ablaufs zur Durchführung von Präqualifizierungsverfahren.</w:t>
      </w:r>
    </w:p>
    <w:p w:rsidR="00D946A6" w:rsidRPr="003B2CAE" w:rsidP="00D92968" w14:paraId="02B85C7E" w14:textId="77777777"/>
    <w:p w:rsidR="00D946A6" w:rsidRPr="003B2CAE" w:rsidP="00D92968" w14:paraId="75C10AC3" w14:textId="77777777">
      <w:r w:rsidRPr="003B2CAE">
        <w:t>Die Grundlagen für die Durchführung von Präqualifizierungsverfahren ergeben sich aus folgenden Regularien:</w:t>
      </w:r>
    </w:p>
    <w:p w:rsidR="00D946A6" w:rsidRPr="003B2CAE" w:rsidP="00D946A6" w14:paraId="09C6D581" w14:textId="77777777">
      <w:pPr>
        <w:pStyle w:val="ListParagraph"/>
        <w:numPr>
          <w:ilvl w:val="0"/>
          <w:numId w:val="35"/>
        </w:numPr>
        <w:autoSpaceDE w:val="0"/>
        <w:autoSpaceDN w:val="0"/>
        <w:adjustRightInd w:val="0"/>
        <w:ind w:left="284" w:hanging="284"/>
        <w:jc w:val="left"/>
        <w:rPr>
          <w:rFonts w:eastAsiaTheme="minorEastAsia" w:cs="Arial"/>
        </w:rPr>
      </w:pPr>
      <w:r w:rsidRPr="003B2CAE">
        <w:rPr>
          <w:rFonts w:eastAsiaTheme="minorEastAsia" w:cs="Arial"/>
        </w:rPr>
        <w:t xml:space="preserve">§ 126 SGB V - Versorgung durch Vertragspartner </w:t>
      </w:r>
    </w:p>
    <w:p w:rsidR="00D946A6" w:rsidRPr="003B2CAE" w:rsidP="00D946A6" w14:paraId="2BF9673E" w14:textId="77777777">
      <w:pPr>
        <w:pStyle w:val="ListParagraph"/>
        <w:numPr>
          <w:ilvl w:val="0"/>
          <w:numId w:val="35"/>
        </w:numPr>
        <w:autoSpaceDE w:val="0"/>
        <w:autoSpaceDN w:val="0"/>
        <w:adjustRightInd w:val="0"/>
        <w:ind w:left="284" w:hanging="284"/>
        <w:jc w:val="left"/>
        <w:rPr>
          <w:rFonts w:eastAsiaTheme="minorEastAsia" w:cs="Arial"/>
        </w:rPr>
      </w:pPr>
      <w:r w:rsidRPr="003B2CAE">
        <w:rPr>
          <w:rFonts w:eastAsiaTheme="minorEastAsia" w:cs="Arial"/>
        </w:rPr>
        <w:t>DIN EN ISO/IEC 17065</w:t>
      </w:r>
    </w:p>
    <w:p w:rsidR="00D946A6" w:rsidRPr="003B2CAE" w:rsidP="00D946A6" w14:paraId="19FA83E7" w14:textId="77777777">
      <w:pPr>
        <w:pStyle w:val="ListParagraph"/>
        <w:numPr>
          <w:ilvl w:val="0"/>
          <w:numId w:val="35"/>
        </w:numPr>
        <w:autoSpaceDE w:val="0"/>
        <w:autoSpaceDN w:val="0"/>
        <w:adjustRightInd w:val="0"/>
        <w:ind w:left="284" w:hanging="284"/>
        <w:jc w:val="left"/>
        <w:rPr>
          <w:rFonts w:eastAsiaTheme="minorEastAsia" w:cs="Arial"/>
        </w:rPr>
      </w:pPr>
      <w:r w:rsidRPr="003B2CAE">
        <w:rPr>
          <w:rFonts w:eastAsiaTheme="minorEastAsia" w:cs="Arial"/>
        </w:rPr>
        <w:t>Regelungen der DAKKS zur Durchführung des PQ-Verfahrens</w:t>
      </w:r>
    </w:p>
    <w:p w:rsidR="00D946A6" w:rsidRPr="003B2CAE" w:rsidP="00D946A6" w14:paraId="3AA2E83F" w14:textId="77777777">
      <w:pPr>
        <w:pStyle w:val="ListParagraph"/>
        <w:numPr>
          <w:ilvl w:val="0"/>
          <w:numId w:val="35"/>
        </w:numPr>
        <w:autoSpaceDE w:val="0"/>
        <w:autoSpaceDN w:val="0"/>
        <w:adjustRightInd w:val="0"/>
        <w:ind w:left="284" w:hanging="284"/>
        <w:jc w:val="left"/>
        <w:rPr>
          <w:rFonts w:eastAsiaTheme="minorEastAsia" w:cs="Arial"/>
        </w:rPr>
      </w:pPr>
      <w:r w:rsidRPr="003B2CAE">
        <w:rPr>
          <w:rFonts w:eastAsiaTheme="minorEastAsia" w:cs="Arial"/>
        </w:rPr>
        <w:t>Empfehlungen des GKV-Spitzenverband gemäß § 126 Absatz 1 Satz 3 SGB V in der jeweils gültigen Fassung</w:t>
      </w:r>
    </w:p>
    <w:p w:rsidR="00D946A6" w:rsidRPr="003B2CAE" w:rsidP="00D946A6" w14:paraId="16B47CA0" w14:textId="77777777">
      <w:pPr>
        <w:pStyle w:val="ListParagraph"/>
        <w:numPr>
          <w:ilvl w:val="0"/>
          <w:numId w:val="35"/>
        </w:numPr>
        <w:autoSpaceDE w:val="0"/>
        <w:autoSpaceDN w:val="0"/>
        <w:adjustRightInd w:val="0"/>
        <w:ind w:left="284" w:hanging="284"/>
        <w:jc w:val="left"/>
        <w:rPr>
          <w:rFonts w:eastAsiaTheme="minorEastAsia" w:cs="Arial"/>
        </w:rPr>
      </w:pPr>
      <w:r w:rsidRPr="003B2CAE">
        <w:rPr>
          <w:rFonts w:eastAsiaTheme="minorEastAsia" w:cs="Arial"/>
        </w:rPr>
        <w:t>Kriterienkatalog des GKV-Spitzenverbandes in der jeweils gültigen Fassung</w:t>
      </w:r>
    </w:p>
    <w:p w:rsidR="00D946A6" w:rsidRPr="003B2CAE" w:rsidP="00D946A6" w14:paraId="251DC165" w14:textId="77777777">
      <w:pPr>
        <w:pStyle w:val="ListParagraph"/>
        <w:numPr>
          <w:ilvl w:val="0"/>
          <w:numId w:val="35"/>
        </w:numPr>
        <w:autoSpaceDE w:val="0"/>
        <w:autoSpaceDN w:val="0"/>
        <w:adjustRightInd w:val="0"/>
        <w:ind w:left="284" w:hanging="284"/>
        <w:jc w:val="left"/>
        <w:rPr>
          <w:rFonts w:eastAsiaTheme="minorEastAsia" w:cs="Arial"/>
        </w:rPr>
      </w:pPr>
      <w:r w:rsidRPr="003B2CAE">
        <w:rPr>
          <w:rFonts w:eastAsiaTheme="minorEastAsia" w:cs="Arial"/>
        </w:rPr>
        <w:t>Zusätzliche Handlungsempfehlungen des GKV-Spitzenverbandes</w:t>
      </w:r>
    </w:p>
    <w:p w:rsidR="00D9425D" w:rsidRPr="003B2CAE" w:rsidP="00D92968" w14:paraId="01910D2C" w14:textId="77777777"/>
    <w:p w:rsidR="00D92968" w:rsidRPr="003B2CAE" w:rsidP="00D92968" w14:paraId="34B2FD6B" w14:textId="77777777">
      <w:r w:rsidRPr="003B2CAE">
        <w:t>Die vorliegende Verfahrensbeschreibung ist Bestandteil der</w:t>
      </w:r>
      <w:r w:rsidRPr="003B2CAE" w:rsidR="00006898">
        <w:t xml:space="preserve"> </w:t>
      </w:r>
      <w:hyperlink r:id="rId5" w:history="1">
        <w:r w:rsidRPr="003B2CAE">
          <w:rPr>
            <w:rStyle w:val="Hyperlink"/>
            <w:rFonts w:cs="Arial"/>
            <w:color w:val="auto"/>
          </w:rPr>
          <w:t>Allgemeinen Geschäftsbedingungen</w:t>
        </w:r>
      </w:hyperlink>
      <w:r w:rsidRPr="003B2CAE">
        <w:t xml:space="preserve"> von mdc.</w:t>
      </w:r>
    </w:p>
    <w:p w:rsidR="00D92968" w:rsidRPr="003B2CAE" w:rsidP="00D92968" w14:paraId="51B0C0B2" w14:textId="77777777"/>
    <w:p w:rsidR="00D9425D" w:rsidRPr="003B2CAE" w:rsidP="00D92968" w14:paraId="04DD554E" w14:textId="77777777"/>
    <w:p w:rsidR="00006898" w:rsidRPr="003B2CAE" w:rsidP="00D9425D" w14:paraId="3A1E4B08" w14:textId="77777777">
      <w:pPr>
        <w:pStyle w:val="Heading1"/>
      </w:pPr>
      <w:bookmarkStart w:id="21" w:name="_Toc256000088"/>
      <w:bookmarkStart w:id="22" w:name="_Toc256000501"/>
      <w:bookmarkStart w:id="23" w:name="_Toc256000478"/>
      <w:bookmarkStart w:id="24" w:name="_Toc256000455"/>
      <w:bookmarkStart w:id="25" w:name="_Toc256000432"/>
      <w:bookmarkStart w:id="26" w:name="_Toc256000409"/>
      <w:bookmarkStart w:id="27" w:name="_Toc256000386"/>
      <w:bookmarkStart w:id="28" w:name="_Toc256000363"/>
      <w:bookmarkStart w:id="29" w:name="_Toc256000340"/>
      <w:bookmarkStart w:id="30" w:name="_Toc256000317"/>
      <w:bookmarkStart w:id="31" w:name="_Toc256000294"/>
      <w:bookmarkStart w:id="32" w:name="_Toc256000271"/>
      <w:bookmarkStart w:id="33" w:name="_Toc256000248"/>
      <w:bookmarkStart w:id="34" w:name="_Toc256000225"/>
      <w:bookmarkStart w:id="35" w:name="_Toc256000128"/>
      <w:bookmarkStart w:id="36" w:name="_Toc256000187"/>
      <w:bookmarkStart w:id="37" w:name="_Toc256000142"/>
      <w:bookmarkStart w:id="38" w:name="_Toc256000059"/>
      <w:bookmarkStart w:id="39" w:name="_Toc256000152"/>
      <w:bookmarkStart w:id="40" w:name="_Toc256000108"/>
      <w:bookmarkStart w:id="41" w:name="_Toc256000081"/>
      <w:bookmarkStart w:id="42" w:name="_Toc504998942"/>
      <w:bookmarkStart w:id="43" w:name="_Toc505003430"/>
      <w:bookmarkStart w:id="44" w:name="_Toc505172742"/>
      <w:bookmarkStart w:id="45" w:name="_Toc524591870"/>
      <w:r w:rsidRPr="003B2CAE">
        <w:t>Beschreibung der Verfahrensschritte</w:t>
      </w:r>
      <w:bookmarkStart w:id="46" w:name="_Toc256000104"/>
      <w:bookmarkStart w:id="47" w:name="_Toc256000502"/>
      <w:bookmarkStart w:id="48" w:name="_Toc256000479"/>
      <w:bookmarkStart w:id="49" w:name="_Toc256000456"/>
      <w:bookmarkStart w:id="50" w:name="_Toc256000433"/>
      <w:bookmarkStart w:id="51" w:name="_Toc256000410"/>
      <w:bookmarkStart w:id="52" w:name="_Toc256000387"/>
      <w:bookmarkStart w:id="53" w:name="_Toc256000364"/>
      <w:bookmarkStart w:id="54" w:name="_Toc256000341"/>
      <w:bookmarkStart w:id="55" w:name="_Toc256000318"/>
      <w:bookmarkStart w:id="56" w:name="_Toc256000295"/>
      <w:bookmarkStart w:id="57" w:name="_Toc256000272"/>
      <w:bookmarkStart w:id="58" w:name="_Toc256000249"/>
      <w:bookmarkStart w:id="59" w:name="_Toc256000226"/>
      <w:bookmarkStart w:id="60" w:name="_Toc256000138"/>
      <w:bookmarkStart w:id="61" w:name="_Toc256000188"/>
      <w:bookmarkStart w:id="62" w:name="_Toc256000143"/>
      <w:bookmarkStart w:id="63" w:name="_Toc256000061"/>
      <w:bookmarkStart w:id="64" w:name="_Toc505003431"/>
      <w:bookmarkStart w:id="65" w:name="_Toc505172743"/>
      <w:bookmarkStart w:id="66" w:name="_Toc524591871"/>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rsidR="00D946A6" w:rsidRPr="003B2CAE" w:rsidP="00D946A6" w14:paraId="37314680" w14:textId="77777777">
      <w:r w:rsidRPr="003B2CAE">
        <w:t>Eine Präqualifizierung erstreckt sich maximal über einen Gültigkeitszeitraum von fünf Jahren, wobei in regelmäßigen Abständen zwei Überwachungen durchgeführt werden.</w:t>
      </w:r>
    </w:p>
    <w:p w:rsidR="00D946A6" w:rsidRPr="003B2CAE" w:rsidP="00D9425D" w14:paraId="786A791C" w14:textId="77777777"/>
    <w:p w:rsidR="00047955" w:rsidRPr="003B2CAE" w:rsidP="00D9425D" w14:paraId="27B5147E" w14:textId="77777777">
      <w:pPr>
        <w:autoSpaceDE w:val="0"/>
        <w:autoSpaceDN w:val="0"/>
        <w:adjustRightInd w:val="0"/>
        <w:rPr>
          <w:rFonts w:eastAsiaTheme="minorEastAsia" w:cs="Arial"/>
        </w:rPr>
      </w:pPr>
      <w:r w:rsidRPr="003B2CAE">
        <w:rPr>
          <w:rFonts w:eastAsiaTheme="minorEastAsia" w:cs="Arial"/>
        </w:rPr>
        <w:t xml:space="preserve">Jedes Präqualifizierungsverfahren teilt sich in folgende </w:t>
      </w:r>
      <w:r w:rsidRPr="003B2CAE" w:rsidR="0084309F">
        <w:rPr>
          <w:rFonts w:eastAsiaTheme="minorEastAsia" w:cs="Arial"/>
        </w:rPr>
        <w:t>Schritte</w:t>
      </w:r>
      <w:r w:rsidRPr="003B2CAE">
        <w:rPr>
          <w:rFonts w:eastAsiaTheme="minorEastAsia" w:cs="Arial"/>
        </w:rPr>
        <w:t xml:space="preserve"> auf: </w:t>
      </w:r>
    </w:p>
    <w:p w:rsidR="00047955" w:rsidRPr="003B2CAE" w:rsidP="00047955" w14:paraId="68E00036" w14:textId="77777777">
      <w:pPr>
        <w:pStyle w:val="ListParagraph"/>
        <w:numPr>
          <w:ilvl w:val="0"/>
          <w:numId w:val="34"/>
        </w:numPr>
        <w:autoSpaceDE w:val="0"/>
        <w:autoSpaceDN w:val="0"/>
        <w:adjustRightInd w:val="0"/>
        <w:ind w:left="284" w:hanging="284"/>
        <w:jc w:val="left"/>
        <w:rPr>
          <w:rFonts w:eastAsiaTheme="minorEastAsia" w:cs="Arial"/>
        </w:rPr>
      </w:pPr>
      <w:r w:rsidRPr="003B2CAE">
        <w:rPr>
          <w:rFonts w:eastAsiaTheme="minorEastAsia" w:cs="Arial"/>
        </w:rPr>
        <w:t>Antragsbewertung</w:t>
      </w:r>
    </w:p>
    <w:p w:rsidR="00047955" w:rsidRPr="003B2CAE" w:rsidP="00047955" w14:paraId="7474FAAB" w14:textId="77777777">
      <w:pPr>
        <w:pStyle w:val="ListParagraph"/>
        <w:numPr>
          <w:ilvl w:val="0"/>
          <w:numId w:val="34"/>
        </w:numPr>
        <w:autoSpaceDE w:val="0"/>
        <w:autoSpaceDN w:val="0"/>
        <w:adjustRightInd w:val="0"/>
        <w:ind w:left="284" w:hanging="284"/>
        <w:jc w:val="left"/>
        <w:rPr>
          <w:rFonts w:eastAsiaTheme="minorEastAsia" w:cs="Arial"/>
        </w:rPr>
      </w:pPr>
      <w:r w:rsidRPr="003B2CAE">
        <w:rPr>
          <w:rFonts w:eastAsiaTheme="minorEastAsia" w:cs="Arial"/>
        </w:rPr>
        <w:t>Evaluierung</w:t>
      </w:r>
    </w:p>
    <w:p w:rsidR="00047955" w:rsidRPr="003B2CAE" w:rsidP="00047955" w14:paraId="46C17745" w14:textId="77777777">
      <w:pPr>
        <w:pStyle w:val="ListParagraph"/>
        <w:numPr>
          <w:ilvl w:val="0"/>
          <w:numId w:val="34"/>
        </w:numPr>
        <w:autoSpaceDE w:val="0"/>
        <w:autoSpaceDN w:val="0"/>
        <w:adjustRightInd w:val="0"/>
        <w:ind w:left="284" w:hanging="284"/>
        <w:jc w:val="left"/>
        <w:rPr>
          <w:rFonts w:eastAsiaTheme="minorEastAsia" w:cs="Arial"/>
        </w:rPr>
      </w:pPr>
      <w:r w:rsidRPr="003B2CAE">
        <w:rPr>
          <w:rFonts w:eastAsiaTheme="minorEastAsia" w:cs="Arial"/>
        </w:rPr>
        <w:t>Bewertung</w:t>
      </w:r>
    </w:p>
    <w:p w:rsidR="00047955" w:rsidRPr="003B2CAE" w:rsidP="00047955" w14:paraId="0709635E" w14:textId="77777777">
      <w:pPr>
        <w:pStyle w:val="ListParagraph"/>
        <w:numPr>
          <w:ilvl w:val="0"/>
          <w:numId w:val="34"/>
        </w:numPr>
        <w:autoSpaceDE w:val="0"/>
        <w:autoSpaceDN w:val="0"/>
        <w:adjustRightInd w:val="0"/>
        <w:ind w:left="284" w:hanging="284"/>
        <w:jc w:val="left"/>
        <w:rPr>
          <w:rFonts w:eastAsiaTheme="minorEastAsia" w:cs="Arial"/>
        </w:rPr>
      </w:pPr>
      <w:r w:rsidRPr="003B2CAE">
        <w:rPr>
          <w:rFonts w:eastAsiaTheme="minorEastAsia" w:cs="Arial"/>
        </w:rPr>
        <w:t>Entscheidung</w:t>
      </w:r>
    </w:p>
    <w:p w:rsidR="00047955" w:rsidRPr="003B2CAE" w:rsidP="00047955" w14:paraId="0E35C3B3" w14:textId="77777777">
      <w:pPr>
        <w:pStyle w:val="ListParagraph"/>
        <w:numPr>
          <w:ilvl w:val="0"/>
          <w:numId w:val="34"/>
        </w:numPr>
        <w:autoSpaceDE w:val="0"/>
        <w:autoSpaceDN w:val="0"/>
        <w:adjustRightInd w:val="0"/>
        <w:ind w:left="284" w:hanging="284"/>
        <w:jc w:val="left"/>
        <w:rPr>
          <w:rFonts w:eastAsiaTheme="minorEastAsia" w:cs="Arial"/>
        </w:rPr>
      </w:pPr>
      <w:r w:rsidRPr="003B2CAE">
        <w:rPr>
          <w:rFonts w:eastAsiaTheme="minorEastAsia" w:cs="Arial"/>
        </w:rPr>
        <w:t>Zertifikatserteilung</w:t>
      </w:r>
    </w:p>
    <w:p w:rsidR="00047955" w:rsidRPr="003B2CAE" w:rsidP="00047955" w14:paraId="3FA1667F" w14:textId="77777777">
      <w:pPr>
        <w:pStyle w:val="ListParagraph"/>
        <w:numPr>
          <w:ilvl w:val="0"/>
          <w:numId w:val="34"/>
        </w:numPr>
        <w:autoSpaceDE w:val="0"/>
        <w:autoSpaceDN w:val="0"/>
        <w:adjustRightInd w:val="0"/>
        <w:ind w:left="284" w:hanging="284"/>
        <w:jc w:val="left"/>
        <w:rPr>
          <w:rFonts w:eastAsiaTheme="minorEastAsia" w:cs="Arial"/>
        </w:rPr>
      </w:pPr>
      <w:r w:rsidRPr="003B2CAE">
        <w:rPr>
          <w:rFonts w:eastAsiaTheme="minorEastAsia" w:cs="Arial"/>
        </w:rPr>
        <w:t>Überwachung</w:t>
      </w:r>
    </w:p>
    <w:p w:rsidR="00047955" w:rsidRPr="003B2CAE" w:rsidP="00D9425D" w14:paraId="2DE5E004" w14:textId="77777777"/>
    <w:p w:rsidR="00055B38" w:rsidRPr="003B2CAE" w:rsidP="00D9425D" w14:paraId="66CFD709" w14:textId="77777777">
      <w:r w:rsidRPr="003B2CAE">
        <w:t>Alle Schritte des Präqualifizierungsverfahrens beschränken sich ausschließlich auf solche Dinge, die sich speziell auf den Geltungsbereich der Zertifizierung be</w:t>
      </w:r>
      <w:r w:rsidRPr="003B2CAE" w:rsidR="00094732">
        <w:t>ziehen</w:t>
      </w:r>
      <w:r w:rsidRPr="003B2CAE">
        <w:t>.</w:t>
      </w:r>
    </w:p>
    <w:p w:rsidR="00047955" w:rsidRPr="003B2CAE" w:rsidP="00D9425D" w14:paraId="4E796F73" w14:textId="77777777"/>
    <w:p w:rsidR="00047955" w:rsidRPr="003B2CAE" w:rsidP="00D9425D" w14:paraId="23B5804C" w14:textId="77777777">
      <w:pPr>
        <w:pStyle w:val="Heading2"/>
      </w:pPr>
      <w:r w:rsidRPr="003B2CAE">
        <w:t xml:space="preserve">2.1 </w:t>
      </w:r>
      <w:r w:rsidRPr="003B2CAE" w:rsidR="00B8506A">
        <w:t xml:space="preserve">Antrag und </w:t>
      </w:r>
      <w:r w:rsidRPr="003B2CAE">
        <w:t>Antragsbewertung</w:t>
      </w:r>
    </w:p>
    <w:p w:rsidR="00B8506A" w:rsidRPr="003B2CAE" w:rsidP="00B8506A" w14:paraId="05079E35" w14:textId="77777777">
      <w:pPr>
        <w:autoSpaceDE w:val="0"/>
        <w:autoSpaceDN w:val="0"/>
        <w:adjustRightInd w:val="0"/>
        <w:rPr>
          <w:rFonts w:eastAsiaTheme="minorEastAsia" w:cs="Arial"/>
        </w:rPr>
      </w:pPr>
      <w:r w:rsidRPr="003B2CAE">
        <w:rPr>
          <w:rFonts w:eastAsiaTheme="minorEastAsia" w:cs="Arial"/>
        </w:rPr>
        <w:t xml:space="preserve">Zur Durchführung eines Präqualifizierungsverfahrens oder zur Änderung einer Präqualifizierung ist ein Antrag erforderlich. </w:t>
      </w:r>
    </w:p>
    <w:p w:rsidR="00B8506A" w:rsidRPr="003B2CAE" w:rsidP="00B8506A" w14:paraId="104D0C62" w14:textId="77777777">
      <w:pPr>
        <w:autoSpaceDE w:val="0"/>
        <w:autoSpaceDN w:val="0"/>
        <w:adjustRightInd w:val="0"/>
        <w:rPr>
          <w:rFonts w:eastAsiaTheme="minorEastAsia" w:cs="Arial"/>
        </w:rPr>
      </w:pPr>
      <w:r w:rsidRPr="003B2CAE">
        <w:rPr>
          <w:rFonts w:eastAsiaTheme="minorEastAsia" w:cs="Arial"/>
        </w:rPr>
        <w:t>Zur Antragstellung werden die von der Präqualifizierungsstelle zur Verfügung gestellten einheitlichen Antragsunterlagen verwendet. Änderungen für bestehende Präqualifizierungen bei der mdc können auch formlos beantragt werden.</w:t>
      </w:r>
    </w:p>
    <w:p w:rsidR="00B8506A" w:rsidRPr="003B2CAE" w:rsidP="007F6C6C" w14:paraId="76E0B6C2" w14:textId="77777777">
      <w:pPr>
        <w:autoSpaceDE w:val="0"/>
        <w:autoSpaceDN w:val="0"/>
        <w:adjustRightInd w:val="0"/>
        <w:rPr>
          <w:rFonts w:eastAsiaTheme="minorEastAsia" w:cs="Arial"/>
        </w:rPr>
      </w:pPr>
    </w:p>
    <w:p w:rsidR="007F6C6C" w:rsidRPr="003B2CAE" w:rsidP="007F6C6C" w14:paraId="25D0224B" w14:textId="77777777">
      <w:pPr>
        <w:autoSpaceDE w:val="0"/>
        <w:autoSpaceDN w:val="0"/>
        <w:adjustRightInd w:val="0"/>
        <w:rPr>
          <w:rFonts w:eastAsiaTheme="minorEastAsia" w:cs="Arial"/>
        </w:rPr>
      </w:pPr>
      <w:r w:rsidRPr="003B2CAE">
        <w:rPr>
          <w:rFonts w:eastAsiaTheme="minorEastAsia" w:cs="Arial"/>
        </w:rPr>
        <w:t>Nach Eingang eines Antrages auf Erst- oder Re-Präqualifizierung bzw. Änderung einer bestehenden Präqualifizierung wird dieser innerhalb eines angemessenen Zeitrahmens auf formale Vollständigkeit geprüft und bewertet. Die Bewertung beinhaltet u.a. die Prüfung, ob die beantragten Versorgungsbereiche im Scope der mdc liegen und ob die Angaben vollständig und nachvollziehbar sind.</w:t>
      </w:r>
    </w:p>
    <w:p w:rsidR="007F6C6C" w:rsidRPr="003B2CAE" w:rsidP="007F6C6C" w14:paraId="3CC06DCA" w14:textId="77777777">
      <w:pPr>
        <w:autoSpaceDE w:val="0"/>
        <w:autoSpaceDN w:val="0"/>
        <w:adjustRightInd w:val="0"/>
        <w:rPr>
          <w:rFonts w:eastAsiaTheme="minorEastAsia" w:cs="Arial"/>
        </w:rPr>
      </w:pPr>
    </w:p>
    <w:p w:rsidR="007F6C6C" w:rsidRPr="003B2CAE" w:rsidP="007F6C6C" w14:paraId="3D40B05B" w14:textId="77777777">
      <w:pPr>
        <w:autoSpaceDE w:val="0"/>
        <w:autoSpaceDN w:val="0"/>
        <w:adjustRightInd w:val="0"/>
        <w:rPr>
          <w:rFonts w:eastAsiaTheme="minorEastAsia" w:cs="Arial"/>
        </w:rPr>
      </w:pPr>
      <w:r w:rsidRPr="003B2CAE">
        <w:rPr>
          <w:rFonts w:eastAsiaTheme="minorEastAsia" w:cs="Arial"/>
        </w:rPr>
        <w:t xml:space="preserve">Ergibt die Bewertung des Antrages, dass dieser vollständig und formal richtig ist, erklärt mdc gegenüber dem Antragsteller die Annahme des Antrages, womit ein Vertrag zwischen dem Antragsteller und mdc geschlossen wird. Vertragsbestandteil sind die Verfahrensbeschreibung Präqualifizierung, die </w:t>
      </w:r>
      <w:hyperlink r:id="rId5" w:history="1">
        <w:r w:rsidRPr="003B2CAE">
          <w:rPr>
            <w:rStyle w:val="Hyperlink"/>
            <w:rFonts w:eastAsiaTheme="minorEastAsia" w:cs="Arial"/>
            <w:color w:val="auto"/>
          </w:rPr>
          <w:t>Allgemeinen Geschäftsbedingungen</w:t>
        </w:r>
      </w:hyperlink>
      <w:r w:rsidRPr="003B2CAE">
        <w:rPr>
          <w:rFonts w:eastAsiaTheme="minorEastAsia" w:cs="Arial"/>
        </w:rPr>
        <w:t xml:space="preserve">, die </w:t>
      </w:r>
      <w:hyperlink r:id="rId6" w:history="1">
        <w:r w:rsidRPr="003B2CAE">
          <w:rPr>
            <w:rStyle w:val="Hyperlink"/>
            <w:rFonts w:eastAsiaTheme="minorEastAsia" w:cs="Arial"/>
            <w:color w:val="auto"/>
          </w:rPr>
          <w:t>Allgemeinen Zertifizierungsregeln</w:t>
        </w:r>
      </w:hyperlink>
      <w:r w:rsidRPr="003B2CAE">
        <w:rPr>
          <w:rFonts w:eastAsiaTheme="minorEastAsia" w:cs="Arial"/>
        </w:rPr>
        <w:t xml:space="preserve">, die </w:t>
      </w:r>
      <w:hyperlink r:id="rId7" w:history="1">
        <w:r w:rsidRPr="003B2CAE">
          <w:rPr>
            <w:rStyle w:val="Hyperlink"/>
            <w:rFonts w:eastAsiaTheme="minorEastAsia" w:cs="Arial"/>
            <w:color w:val="auto"/>
          </w:rPr>
          <w:t>Verwendung der Zertifizierung, des Zertifikates und des Zertifizierungszeichens</w:t>
        </w:r>
      </w:hyperlink>
      <w:r w:rsidRPr="003B2CAE">
        <w:rPr>
          <w:rFonts w:eastAsiaTheme="minorEastAsia" w:cs="Arial"/>
        </w:rPr>
        <w:t xml:space="preserve"> sowie die </w:t>
      </w:r>
      <w:hyperlink r:id="rId8" w:history="1">
        <w:r w:rsidRPr="003B2CAE">
          <w:rPr>
            <w:rStyle w:val="Hyperlink"/>
            <w:rFonts w:eastAsiaTheme="minorEastAsia" w:cs="Arial"/>
            <w:color w:val="auto"/>
          </w:rPr>
          <w:t>Preisliste Präqualifizierung</w:t>
        </w:r>
      </w:hyperlink>
      <w:r w:rsidRPr="003B2CAE">
        <w:rPr>
          <w:rFonts w:eastAsiaTheme="minorEastAsia" w:cs="Arial"/>
        </w:rPr>
        <w:t>.</w:t>
      </w:r>
    </w:p>
    <w:p w:rsidR="007F6C6C" w:rsidRPr="003B2CAE" w:rsidP="007F6C6C" w14:paraId="75BA61F5" w14:textId="77777777">
      <w:pPr>
        <w:autoSpaceDE w:val="0"/>
        <w:autoSpaceDN w:val="0"/>
        <w:adjustRightInd w:val="0"/>
        <w:rPr>
          <w:rFonts w:eastAsiaTheme="minorEastAsia" w:cs="Arial"/>
        </w:rPr>
      </w:pPr>
      <w:r w:rsidRPr="003B2CAE">
        <w:rPr>
          <w:rFonts w:eastAsiaTheme="minorEastAsia" w:cs="Arial"/>
        </w:rPr>
        <w:t>Mit Inkrafttreten des Vertrages ist das Präqualifizierungs-verfahren eröffnet.</w:t>
      </w:r>
    </w:p>
    <w:p w:rsidR="007F6C6C" w:rsidRPr="003B2CAE" w:rsidP="009D1D6B" w14:paraId="0A4CD81D" w14:textId="77777777">
      <w:pPr>
        <w:rPr>
          <w:lang w:eastAsia="de-DE"/>
        </w:rPr>
      </w:pPr>
      <w:r w:rsidRPr="003B2CAE">
        <w:rPr>
          <w:rFonts w:eastAsiaTheme="minorEastAsia" w:cs="Arial"/>
        </w:rPr>
        <w:t>Im Falle, dass ein Antrag nicht angenommen werden kann, wird der Antragsteller schriftlich über die Gründe der Ablehnung informiert.</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rsidR="00566A73" w:rsidRPr="003B2CAE" w:rsidP="00D92968" w14:paraId="410B776C" w14:textId="77777777">
      <w:pPr>
        <w:autoSpaceDE w:val="0"/>
        <w:autoSpaceDN w:val="0"/>
        <w:adjustRightInd w:val="0"/>
        <w:ind w:left="567" w:hanging="567"/>
        <w:rPr>
          <w:rFonts w:eastAsiaTheme="minorEastAsia" w:cs="Arial"/>
        </w:rPr>
      </w:pPr>
    </w:p>
    <w:p w:rsidR="00D9425D" w:rsidRPr="003B2CAE" w:rsidP="00D92968" w14:paraId="6FF14E7C" w14:textId="77777777">
      <w:pPr>
        <w:autoSpaceDE w:val="0"/>
        <w:autoSpaceDN w:val="0"/>
        <w:adjustRightInd w:val="0"/>
        <w:ind w:left="567" w:hanging="567"/>
        <w:rPr>
          <w:rFonts w:eastAsiaTheme="minorEastAsia" w:cs="Arial"/>
        </w:rPr>
      </w:pPr>
    </w:p>
    <w:p w:rsidR="00D92968" w:rsidRPr="003B2CAE" w:rsidP="00D9425D" w14:paraId="175CEC9A" w14:textId="77777777">
      <w:pPr>
        <w:pStyle w:val="Heading2"/>
      </w:pPr>
      <w:bookmarkStart w:id="67" w:name="_Toc502739190"/>
      <w:bookmarkStart w:id="68" w:name="_Toc502739283"/>
      <w:bookmarkStart w:id="69" w:name="_Toc502739192"/>
      <w:bookmarkStart w:id="70" w:name="_Toc502739285"/>
      <w:bookmarkStart w:id="71" w:name="_Toc256000208"/>
      <w:bookmarkStart w:id="72" w:name="_Toc256000508"/>
      <w:bookmarkStart w:id="73" w:name="_Toc256000485"/>
      <w:bookmarkStart w:id="74" w:name="_Toc256000462"/>
      <w:bookmarkStart w:id="75" w:name="_Toc256000439"/>
      <w:bookmarkStart w:id="76" w:name="_Toc256000416"/>
      <w:bookmarkStart w:id="77" w:name="_Toc256000393"/>
      <w:bookmarkStart w:id="78" w:name="_Toc492642416"/>
      <w:bookmarkStart w:id="79" w:name="_Toc256000370"/>
      <w:bookmarkStart w:id="80" w:name="_Toc256000347"/>
      <w:bookmarkStart w:id="81" w:name="_Toc256000324"/>
      <w:bookmarkStart w:id="82" w:name="_Toc256000301"/>
      <w:bookmarkStart w:id="83" w:name="_Toc256000278"/>
      <w:bookmarkStart w:id="84" w:name="_Toc256000255"/>
      <w:bookmarkStart w:id="85" w:name="_Toc256000232"/>
      <w:bookmarkStart w:id="86" w:name="_Toc256000209"/>
      <w:bookmarkStart w:id="87" w:name="_Toc256000194"/>
      <w:bookmarkStart w:id="88" w:name="_Toc256000153"/>
      <w:bookmarkStart w:id="89" w:name="_Toc256000106"/>
      <w:bookmarkStart w:id="90" w:name="_Toc256000160"/>
      <w:bookmarkStart w:id="91" w:name="_Toc256000116"/>
      <w:bookmarkStart w:id="92" w:name="_Toc256000089"/>
      <w:bookmarkStart w:id="93" w:name="_Toc256000032"/>
      <w:bookmarkStart w:id="94" w:name="_Toc256000012"/>
      <w:bookmarkStart w:id="95" w:name="_Toc256000070"/>
      <w:bookmarkStart w:id="96" w:name="_Toc499627237"/>
      <w:bookmarkStart w:id="97" w:name="_Toc502739290"/>
      <w:bookmarkStart w:id="98" w:name="_Toc502751886"/>
      <w:bookmarkStart w:id="99" w:name="_Toc502836637"/>
      <w:bookmarkStart w:id="100" w:name="_Toc504998948"/>
      <w:bookmarkStart w:id="101" w:name="_Toc505003437"/>
      <w:bookmarkStart w:id="102" w:name="_Toc505172749"/>
      <w:bookmarkStart w:id="103" w:name="_Toc524591877"/>
      <w:bookmarkEnd w:id="67"/>
      <w:bookmarkEnd w:id="68"/>
      <w:bookmarkEnd w:id="69"/>
      <w:bookmarkEnd w:id="70"/>
      <w:r w:rsidRPr="003B2CAE">
        <w:t xml:space="preserve">2.2 </w:t>
      </w:r>
      <w:r w:rsidRPr="003B2CAE" w:rsidR="009A58FA">
        <w:t>Evaluierung</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p w:rsidR="000F3A0A" w:rsidP="00D92968" w14:paraId="62ED85AB" w14:textId="35D6375B">
      <w:pPr>
        <w:spacing w:after="120"/>
        <w:rPr>
          <w:rFonts w:eastAsiaTheme="minorEastAsia" w:cs="Arial"/>
        </w:rPr>
      </w:pPr>
      <w:r w:rsidRPr="003B2CAE">
        <w:rPr>
          <w:rFonts w:eastAsiaTheme="minorEastAsia" w:cs="Arial"/>
        </w:rPr>
        <w:t xml:space="preserve">Im Rahmen der Evaluierung wird ermittelt, ob die eingereichten Unterlagen, Eigenerklärungen, Nachweise, Fotos, ggf. das </w:t>
      </w:r>
      <w:r w:rsidRPr="003B2CAE">
        <w:rPr>
          <w:rFonts w:eastAsiaTheme="minorEastAsia" w:cs="Arial"/>
        </w:rPr>
        <w:t xml:space="preserve">Betriebsbegehungsprotokoll im Hinblick auf die Erfüllung der vom GKV-Spitzenverband festgelegten Anforderungen vollständig und plausibel sind. Die erforderlichen Unterlagen sind vom Kunden </w:t>
      </w:r>
      <w:r w:rsidR="00B81EF1">
        <w:rPr>
          <w:rFonts w:eastAsiaTheme="minorEastAsia" w:cs="Arial"/>
        </w:rPr>
        <w:t xml:space="preserve">eigenverantwortlich, fristgerecht </w:t>
      </w:r>
      <w:r w:rsidR="003F55DE">
        <w:rPr>
          <w:rFonts w:eastAsiaTheme="minorEastAsia" w:cs="Arial"/>
        </w:rPr>
        <w:t xml:space="preserve">und </w:t>
      </w:r>
      <w:r w:rsidRPr="003B2CAE">
        <w:rPr>
          <w:rFonts w:eastAsiaTheme="minorEastAsia" w:cs="Arial"/>
        </w:rPr>
        <w:t>vollständig einzureichen.</w:t>
      </w:r>
      <w:r>
        <w:rPr>
          <w:rFonts w:eastAsiaTheme="minorEastAsia" w:cs="Arial"/>
        </w:rPr>
        <w:t xml:space="preserve"> mdc ermöglicht allen Kunden die Unterlagen elektronisch per Upload link einzureichen. Die elektronische Einreichung über externe Fremdsysteme ist ausgeschlossen.</w:t>
      </w:r>
    </w:p>
    <w:p w:rsidR="00D92968" w:rsidRPr="003B2CAE" w:rsidP="00D92968" w14:paraId="4D2DD407" w14:textId="77777777">
      <w:pPr>
        <w:spacing w:after="120"/>
        <w:rPr>
          <w:rFonts w:eastAsiaTheme="minorEastAsia" w:cs="Arial"/>
        </w:rPr>
      </w:pPr>
      <w:r w:rsidRPr="003B2CAE">
        <w:rPr>
          <w:rFonts w:eastAsiaTheme="minorEastAsia" w:cs="Arial"/>
        </w:rPr>
        <w:t>Die Evaluierung bezieht sich auf die beantragten Versorgungsbereiche und beinhaltet die folgenden Teilschritte:</w:t>
      </w:r>
    </w:p>
    <w:p w:rsidR="00D92968" w:rsidRPr="003B2CAE" w:rsidP="00EB5EC2" w14:paraId="722BE163" w14:textId="77777777">
      <w:pPr>
        <w:pStyle w:val="ListParagraph"/>
        <w:numPr>
          <w:ilvl w:val="0"/>
          <w:numId w:val="35"/>
        </w:numPr>
        <w:autoSpaceDE w:val="0"/>
        <w:autoSpaceDN w:val="0"/>
        <w:adjustRightInd w:val="0"/>
        <w:ind w:left="284" w:hanging="284"/>
        <w:jc w:val="left"/>
        <w:rPr>
          <w:rFonts w:eastAsiaTheme="minorEastAsia" w:cs="Arial"/>
        </w:rPr>
      </w:pPr>
      <w:r w:rsidRPr="003B2CAE">
        <w:rPr>
          <w:rFonts w:eastAsiaTheme="minorEastAsia" w:cs="Arial"/>
        </w:rPr>
        <w:t>Vollständigkeit und Plausibilität der vom Kunden eingereichten Nachweise prüfen</w:t>
      </w:r>
    </w:p>
    <w:p w:rsidR="00D92968" w:rsidRPr="003B2CAE" w:rsidP="00EB5EC2" w14:paraId="187292CC" w14:textId="77777777">
      <w:pPr>
        <w:pStyle w:val="ListParagraph"/>
        <w:numPr>
          <w:ilvl w:val="0"/>
          <w:numId w:val="35"/>
        </w:numPr>
        <w:autoSpaceDE w:val="0"/>
        <w:autoSpaceDN w:val="0"/>
        <w:adjustRightInd w:val="0"/>
        <w:ind w:left="284" w:hanging="284"/>
        <w:jc w:val="left"/>
        <w:rPr>
          <w:rFonts w:eastAsiaTheme="minorEastAsia" w:cs="Arial"/>
        </w:rPr>
      </w:pPr>
      <w:r w:rsidRPr="003B2CAE">
        <w:rPr>
          <w:rFonts w:eastAsiaTheme="minorEastAsia" w:cs="Arial"/>
        </w:rPr>
        <w:t>Durchführung von Begehungen</w:t>
      </w:r>
    </w:p>
    <w:p w:rsidR="00D92968" w:rsidRPr="003B2CAE" w:rsidP="00EB5EC2" w14:paraId="7E764B16" w14:textId="77777777">
      <w:pPr>
        <w:pStyle w:val="ListParagraph"/>
        <w:numPr>
          <w:ilvl w:val="0"/>
          <w:numId w:val="35"/>
        </w:numPr>
        <w:autoSpaceDE w:val="0"/>
        <w:autoSpaceDN w:val="0"/>
        <w:adjustRightInd w:val="0"/>
        <w:ind w:left="284" w:hanging="284"/>
        <w:jc w:val="left"/>
        <w:rPr>
          <w:rFonts w:eastAsiaTheme="minorEastAsia" w:cs="Arial"/>
        </w:rPr>
      </w:pPr>
      <w:r w:rsidRPr="003B2CAE">
        <w:rPr>
          <w:rFonts w:eastAsiaTheme="minorEastAsia" w:cs="Arial"/>
        </w:rPr>
        <w:t>Feststellung von Nichtkonformitäten und Informationen darüber inkl. Nachforderungen an Kunden übermitteln</w:t>
      </w:r>
    </w:p>
    <w:p w:rsidR="00D92968" w:rsidRPr="003B2CAE" w:rsidP="00EB5EC2" w14:paraId="1B2B86ED" w14:textId="77777777">
      <w:pPr>
        <w:pStyle w:val="ListParagraph"/>
        <w:numPr>
          <w:ilvl w:val="0"/>
          <w:numId w:val="35"/>
        </w:numPr>
        <w:autoSpaceDE w:val="0"/>
        <w:autoSpaceDN w:val="0"/>
        <w:adjustRightInd w:val="0"/>
        <w:spacing w:after="240"/>
        <w:ind w:left="284" w:hanging="284"/>
        <w:jc w:val="left"/>
        <w:rPr>
          <w:rFonts w:eastAsiaTheme="minorEastAsia" w:cs="Arial"/>
        </w:rPr>
      </w:pPr>
      <w:r w:rsidRPr="003B2CAE">
        <w:rPr>
          <w:rFonts w:eastAsiaTheme="minorEastAsia" w:cs="Arial"/>
        </w:rPr>
        <w:t>Dokumentation der Ergebnisse der Evaluierungstätigkeiten</w:t>
      </w:r>
    </w:p>
    <w:p w:rsidR="00605697" w:rsidRPr="003B2CAE" w:rsidP="00605697" w14:paraId="6FE3F65B" w14:textId="77777777">
      <w:pPr>
        <w:spacing w:after="120"/>
        <w:rPr>
          <w:rFonts w:eastAsiaTheme="minorEastAsia" w:cs="Arial"/>
        </w:rPr>
      </w:pPr>
      <w:r w:rsidRPr="003B2CAE">
        <w:rPr>
          <w:rFonts w:eastAsiaTheme="minorEastAsia" w:cs="Arial"/>
        </w:rPr>
        <w:t>Für die in den Scopes 1 bis 4 hinterlegten, i.d.R. handwerklich gefertigte Hilfsmittel umfassende Versorgungsbereiche sind nach den Regularien der DAkkS und des GKV-Spitzenverbandes Begehungen durchzuführen:</w:t>
      </w:r>
    </w:p>
    <w:p w:rsidR="00605697" w:rsidRPr="003B2CAE" w:rsidP="00D9425D" w14:paraId="176EED1C" w14:textId="77777777">
      <w:pPr>
        <w:pStyle w:val="ListParagraph"/>
        <w:numPr>
          <w:ilvl w:val="0"/>
          <w:numId w:val="49"/>
        </w:numPr>
        <w:spacing w:after="120"/>
        <w:rPr>
          <w:rFonts w:eastAsiaTheme="minorEastAsia" w:cs="Arial"/>
        </w:rPr>
      </w:pPr>
      <w:r w:rsidRPr="003B2CAE">
        <w:rPr>
          <w:rFonts w:eastAsiaTheme="minorEastAsia" w:cs="Arial"/>
        </w:rPr>
        <w:t>Scope 1 = Orthopädietechnik</w:t>
      </w:r>
    </w:p>
    <w:p w:rsidR="00605697" w:rsidRPr="003B2CAE" w:rsidP="00D9425D" w14:paraId="158AFBF4" w14:textId="77777777">
      <w:pPr>
        <w:pStyle w:val="ListParagraph"/>
        <w:numPr>
          <w:ilvl w:val="0"/>
          <w:numId w:val="49"/>
        </w:numPr>
        <w:spacing w:after="120"/>
        <w:rPr>
          <w:rFonts w:eastAsiaTheme="minorEastAsia" w:cs="Arial"/>
        </w:rPr>
      </w:pPr>
      <w:r w:rsidRPr="003B2CAE">
        <w:rPr>
          <w:rFonts w:eastAsiaTheme="minorEastAsia" w:cs="Arial"/>
        </w:rPr>
        <w:t>Scope 2 = Orthopädieschuhtechnik</w:t>
      </w:r>
    </w:p>
    <w:p w:rsidR="00605697" w:rsidRPr="003B2CAE" w:rsidP="00D9425D" w14:paraId="0FF07CA3" w14:textId="77777777">
      <w:pPr>
        <w:pStyle w:val="ListParagraph"/>
        <w:numPr>
          <w:ilvl w:val="0"/>
          <w:numId w:val="49"/>
        </w:numPr>
        <w:spacing w:after="120"/>
        <w:rPr>
          <w:rFonts w:eastAsiaTheme="minorEastAsia" w:cs="Arial"/>
        </w:rPr>
      </w:pPr>
      <w:r w:rsidRPr="003B2CAE">
        <w:rPr>
          <w:rFonts w:eastAsiaTheme="minorEastAsia" w:cs="Arial"/>
        </w:rPr>
        <w:t>Scope 3 = Hörakustik</w:t>
      </w:r>
    </w:p>
    <w:p w:rsidR="00605697" w:rsidRPr="003B2CAE" w:rsidP="00D9425D" w14:paraId="17EA2726" w14:textId="77777777">
      <w:pPr>
        <w:pStyle w:val="ListParagraph"/>
        <w:numPr>
          <w:ilvl w:val="0"/>
          <w:numId w:val="49"/>
        </w:numPr>
        <w:spacing w:after="120"/>
        <w:rPr>
          <w:rFonts w:eastAsiaTheme="minorEastAsia" w:cs="Arial"/>
        </w:rPr>
      </w:pPr>
      <w:r w:rsidRPr="003B2CAE">
        <w:rPr>
          <w:rFonts w:eastAsiaTheme="minorEastAsia" w:cs="Arial"/>
        </w:rPr>
        <w:t>Scope 4 = Augenoptik</w:t>
      </w:r>
    </w:p>
    <w:p w:rsidR="00EB5EC2" w:rsidRPr="003B2CAE" w:rsidP="00D359C8" w14:paraId="0CEC9D8C" w14:textId="77777777">
      <w:pPr>
        <w:spacing w:after="120"/>
        <w:rPr>
          <w:rFonts w:eastAsiaTheme="minorEastAsia" w:cs="Arial"/>
        </w:rPr>
      </w:pPr>
      <w:r w:rsidRPr="003B2CAE">
        <w:rPr>
          <w:rFonts w:eastAsiaTheme="minorEastAsia" w:cs="Arial"/>
        </w:rPr>
        <w:t xml:space="preserve">Sofern Versorgungsbereiche aus den Scopes 1 bis 4 beantragt </w:t>
      </w:r>
      <w:r w:rsidRPr="003B2CAE" w:rsidR="00A46C37">
        <w:rPr>
          <w:rFonts w:eastAsiaTheme="minorEastAsia" w:cs="Arial"/>
        </w:rPr>
        <w:t>werden</w:t>
      </w:r>
      <w:r w:rsidRPr="003B2CAE">
        <w:rPr>
          <w:rFonts w:eastAsiaTheme="minorEastAsia" w:cs="Arial"/>
        </w:rPr>
        <w:t>, wird eine Betriebsbegehung bei Erst- und R</w:t>
      </w:r>
      <w:r w:rsidRPr="003B2CAE" w:rsidR="00A46C37">
        <w:rPr>
          <w:rFonts w:eastAsiaTheme="minorEastAsia" w:cs="Arial"/>
        </w:rPr>
        <w:t>e</w:t>
      </w:r>
      <w:r w:rsidRPr="003B2CAE">
        <w:rPr>
          <w:rFonts w:eastAsiaTheme="minorEastAsia" w:cs="Arial"/>
        </w:rPr>
        <w:t xml:space="preserve">-Präqualifizierungen sowie bei </w:t>
      </w:r>
      <w:r w:rsidRPr="003B2CAE" w:rsidR="00C0288F">
        <w:rPr>
          <w:rFonts w:eastAsiaTheme="minorEastAsia" w:cs="Arial"/>
        </w:rPr>
        <w:t xml:space="preserve">beiden </w:t>
      </w:r>
      <w:r w:rsidRPr="003B2CAE">
        <w:rPr>
          <w:rFonts w:eastAsiaTheme="minorEastAsia" w:cs="Arial"/>
        </w:rPr>
        <w:t>Überwachungen veranlasst und beauftragt.</w:t>
      </w:r>
    </w:p>
    <w:p w:rsidR="00D92968" w:rsidRPr="003B2CAE" w:rsidP="00D92968" w14:paraId="6C64B4EF" w14:textId="77777777">
      <w:pPr>
        <w:spacing w:after="120"/>
        <w:rPr>
          <w:rFonts w:eastAsiaTheme="minorEastAsia" w:cs="Arial"/>
        </w:rPr>
      </w:pPr>
      <w:r w:rsidRPr="003B2CAE">
        <w:rPr>
          <w:rFonts w:eastAsiaTheme="minorEastAsia" w:cs="Arial"/>
        </w:rPr>
        <w:t>Freiwillige Begehungen können jederzeit vom Kunden beauftragt werden.</w:t>
      </w:r>
    </w:p>
    <w:p w:rsidR="00C509BE" w:rsidRPr="003B2CAE" w:rsidP="00EB1A63" w14:paraId="6E7E340D" w14:textId="77777777">
      <w:pPr>
        <w:rPr>
          <w:rFonts w:eastAsiaTheme="minorEastAsia" w:cs="Arial"/>
        </w:rPr>
      </w:pPr>
      <w:r w:rsidRPr="003B2CAE">
        <w:rPr>
          <w:rFonts w:eastAsiaTheme="minorEastAsia" w:cs="Arial"/>
        </w:rPr>
        <w:t>Die Präqualifizierungsstelle prüft die eingereichten Unterlagen und Nachweise in einer angemessenen Frist auf Vollständigkeit und Plausibilität.</w:t>
      </w:r>
    </w:p>
    <w:p w:rsidR="00D92968" w:rsidRPr="003B2CAE" w:rsidP="00EB1A63" w14:paraId="7A9FC10B" w14:textId="77777777">
      <w:pPr>
        <w:rPr>
          <w:rFonts w:cs="Arial"/>
        </w:rPr>
      </w:pPr>
      <w:r w:rsidRPr="003B2CAE">
        <w:rPr>
          <w:rFonts w:eastAsiaTheme="minorEastAsia" w:cs="Arial"/>
        </w:rPr>
        <w:t xml:space="preserve">Über fehlende oder unzureichende Nachweiserbringung wird der Kunde informiert und das weitere Vorgehen abgestimmt. Ggf. werden weitere Unterlagen angefordert, beantragte Versorgungsbereiche gestrichen oder andere Maßnahmen vereinbart. Zur Vervollständigung der Unterlagen und Nachweise setzt die Präqualifizierungsstelle dem Kunden angemessene Fristen. </w:t>
      </w:r>
      <w:r w:rsidRPr="003B2CAE" w:rsidR="00645734">
        <w:rPr>
          <w:rFonts w:eastAsiaTheme="minorEastAsia" w:cs="Arial"/>
        </w:rPr>
        <w:t>Die Ergebnisse aller Evaluierungstätigkeiten sowie</w:t>
      </w:r>
      <w:r w:rsidRPr="003B2CAE">
        <w:rPr>
          <w:rFonts w:eastAsiaTheme="minorEastAsia" w:cs="Arial"/>
        </w:rPr>
        <w:t xml:space="preserve"> verfahrensrelevante Absprachen und Fristen werden direkt in der jeweiligen PQ-Akte dokumentiert. </w:t>
      </w:r>
    </w:p>
    <w:p w:rsidR="00FC3627" w:rsidRPr="003B2CAE" w:rsidP="00EB1A63" w14:paraId="5DBDB99B" w14:textId="77777777">
      <w:pPr>
        <w:rPr>
          <w:rFonts w:eastAsiaTheme="minorEastAsia" w:cs="Arial"/>
        </w:rPr>
      </w:pPr>
    </w:p>
    <w:p w:rsidR="00FC3627" w:rsidRPr="003B2CAE" w:rsidP="00FC3627" w14:paraId="52865DD4" w14:textId="77777777">
      <w:pPr>
        <w:rPr>
          <w:rFonts w:cs="Arial"/>
        </w:rPr>
      </w:pPr>
      <w:r w:rsidRPr="003B2CAE">
        <w:rPr>
          <w:rFonts w:cs="Arial"/>
        </w:rPr>
        <w:t>Sind alle angeforderten Unterlagen einschließlich aller Nachweise und Fotos vorhanden, erhält der Kunde eine Bestätigung über die Vollständigkeit der eingereichten Unterlagen und die Bewertung wird veranlasst.</w:t>
      </w:r>
    </w:p>
    <w:p w:rsidR="00FC3627" w:rsidRPr="003B2CAE" w:rsidP="00FC3627" w14:paraId="07CA64C9" w14:textId="77777777">
      <w:pPr>
        <w:rPr>
          <w:rFonts w:cs="Arial"/>
        </w:rPr>
      </w:pPr>
      <w:r w:rsidRPr="003B2CAE">
        <w:rPr>
          <w:rFonts w:cs="Arial"/>
        </w:rPr>
        <w:t>Sofern die notwendigen Unterlagen, Nachweise und Fotos innerhalb eines angemessenen Zeitraumes vom Kunden nicht vollständig eingereicht worden sind, wird ebenfalls die Bewertung veranlasst.</w:t>
      </w:r>
    </w:p>
    <w:p w:rsidR="00645734" w:rsidRPr="003B2CAE" w:rsidP="00FC3627" w14:paraId="7A893388" w14:textId="77777777">
      <w:pPr>
        <w:rPr>
          <w:rFonts w:cs="Arial"/>
        </w:rPr>
      </w:pPr>
    </w:p>
    <w:p w:rsidR="00D9425D" w:rsidRPr="003B2CAE" w:rsidP="00FC3627" w14:paraId="7C8AD14D" w14:textId="77777777">
      <w:pPr>
        <w:rPr>
          <w:rFonts w:cs="Arial"/>
        </w:rPr>
      </w:pPr>
    </w:p>
    <w:p w:rsidR="00D92968" w:rsidRPr="003B2CAE" w:rsidP="00D9425D" w14:paraId="748C8290" w14:textId="77777777">
      <w:pPr>
        <w:pStyle w:val="Heading2"/>
      </w:pPr>
      <w:bookmarkStart w:id="104" w:name="_Toc256000231"/>
      <w:bookmarkStart w:id="105" w:name="_Toc256000509"/>
      <w:bookmarkStart w:id="106" w:name="_Toc256000486"/>
      <w:bookmarkStart w:id="107" w:name="_Toc256000463"/>
      <w:bookmarkStart w:id="108" w:name="_Toc256000440"/>
      <w:bookmarkStart w:id="109" w:name="_Toc256000417"/>
      <w:bookmarkStart w:id="110" w:name="_Toc256000394"/>
      <w:bookmarkStart w:id="111" w:name="_Toc256000371"/>
      <w:bookmarkStart w:id="112" w:name="_Toc256000348"/>
      <w:bookmarkStart w:id="113" w:name="_Toc256000325"/>
      <w:bookmarkStart w:id="114" w:name="_Toc256000302"/>
      <w:bookmarkStart w:id="115" w:name="_Toc256000279"/>
      <w:bookmarkStart w:id="116" w:name="_Toc256000256"/>
      <w:bookmarkStart w:id="117" w:name="_Toc256000233"/>
      <w:bookmarkStart w:id="118" w:name="_Toc256000210"/>
      <w:bookmarkStart w:id="119" w:name="_Toc256000195"/>
      <w:bookmarkStart w:id="120" w:name="_Toc256000154"/>
      <w:bookmarkStart w:id="121" w:name="_Toc256000109"/>
      <w:bookmarkStart w:id="122" w:name="_Toc256000161"/>
      <w:bookmarkStart w:id="123" w:name="_Toc256000117"/>
      <w:bookmarkStart w:id="124" w:name="_Toc256000090"/>
      <w:bookmarkStart w:id="125" w:name="_Toc256000034"/>
      <w:bookmarkStart w:id="126" w:name="_Toc256000014"/>
      <w:bookmarkStart w:id="127" w:name="_Toc256000071"/>
      <w:bookmarkStart w:id="128" w:name="_Toc499627238"/>
      <w:bookmarkStart w:id="129" w:name="_Toc492642417"/>
      <w:bookmarkStart w:id="130" w:name="_Toc502739291"/>
      <w:bookmarkStart w:id="131" w:name="_Toc502751887"/>
      <w:bookmarkStart w:id="132" w:name="_Toc502836638"/>
      <w:bookmarkStart w:id="133" w:name="_Toc504998949"/>
      <w:bookmarkStart w:id="134" w:name="_Toc505003438"/>
      <w:bookmarkStart w:id="135" w:name="_Toc505172750"/>
      <w:bookmarkStart w:id="136" w:name="_Toc524591878"/>
      <w:r w:rsidRPr="003B2CAE">
        <w:t xml:space="preserve">2.3 </w:t>
      </w:r>
      <w:r w:rsidRPr="003B2CAE" w:rsidR="009A58FA">
        <w:t xml:space="preserve">Bewertung </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rsidR="00B03944" w:rsidRPr="003B2CAE" w:rsidP="00E1287A" w14:paraId="4D79B770" w14:textId="77777777">
      <w:pPr>
        <w:rPr>
          <w:rFonts w:eastAsiaTheme="minorEastAsia" w:cs="Arial"/>
        </w:rPr>
      </w:pPr>
      <w:r w:rsidRPr="003B2CAE">
        <w:rPr>
          <w:rFonts w:eastAsiaTheme="minorEastAsia" w:cs="Arial"/>
        </w:rPr>
        <w:t xml:space="preserve">Mit der Bewertung wird überprüft, ob die Tätigkeiten der Evaluierung </w:t>
      </w:r>
      <w:r w:rsidRPr="003B2CAE">
        <w:t xml:space="preserve">und deren Ergebnisse </w:t>
      </w:r>
      <w:r w:rsidRPr="003B2CAE">
        <w:rPr>
          <w:rFonts w:eastAsiaTheme="minorEastAsia" w:cs="Arial"/>
        </w:rPr>
        <w:t xml:space="preserve">hinsichtlich der Übereinstimmung mit den Anforderungen des GKV-Spitzenverbandes </w:t>
      </w:r>
      <w:r w:rsidRPr="003B2CAE">
        <w:t xml:space="preserve">geeignet, angemessen und wirksam sind sowie den </w:t>
      </w:r>
      <w:r w:rsidRPr="003B2CAE">
        <w:rPr>
          <w:rFonts w:eastAsiaTheme="minorEastAsia" w:cs="Arial"/>
        </w:rPr>
        <w:t xml:space="preserve">Vorgaben und Verfahrensabläufen entsprechen. </w:t>
      </w:r>
    </w:p>
    <w:p w:rsidR="00D92968" w:rsidRPr="003B2CAE" w:rsidP="00E1287A" w14:paraId="517F1788" w14:textId="77777777">
      <w:pPr>
        <w:rPr>
          <w:szCs w:val="20"/>
        </w:rPr>
      </w:pPr>
      <w:r w:rsidRPr="003B2CAE">
        <w:rPr>
          <w:bCs/>
          <w:szCs w:val="20"/>
        </w:rPr>
        <w:t xml:space="preserve">Werden im Rahmen der Bewertung Nichtkonformitäten festgestellt, werden diese </w:t>
      </w:r>
      <w:r w:rsidRPr="003B2CAE">
        <w:rPr>
          <w:szCs w:val="20"/>
        </w:rPr>
        <w:t>dokumentiert und das Verfahren geht zurück zur Evaluierung. Die Person, welche die Evaluierung durchführt, informiert den Kunden über die zusätzlich bereit zu stellenden Evaluierungsaufgaben. Ist der Kunde einverstanden, muss der unter 2.2 dargestellte Verfahrensschritt wiederholt werden, um zusätzliche Evaluierungsaufgaben abzuschließen.</w:t>
      </w:r>
    </w:p>
    <w:p w:rsidR="00D9425D" w:rsidRPr="003B2CAE" w:rsidP="00D92968" w14:paraId="13B6A010" w14:textId="77777777">
      <w:pPr>
        <w:pStyle w:val="Default"/>
        <w:rPr>
          <w:sz w:val="16"/>
          <w:szCs w:val="20"/>
        </w:rPr>
      </w:pPr>
    </w:p>
    <w:p w:rsidR="00550C34" w:rsidRPr="003B2CAE" w:rsidP="00D92968" w14:paraId="60274F9D" w14:textId="77777777">
      <w:pPr>
        <w:pStyle w:val="Default"/>
        <w:rPr>
          <w:sz w:val="16"/>
          <w:szCs w:val="20"/>
        </w:rPr>
      </w:pPr>
    </w:p>
    <w:p w:rsidR="00D92968" w:rsidRPr="003B2CAE" w:rsidP="00D9425D" w14:paraId="5F263704" w14:textId="77777777">
      <w:pPr>
        <w:pStyle w:val="Heading3"/>
        <w:numPr>
          <w:ilvl w:val="0"/>
          <w:numId w:val="0"/>
        </w:numPr>
        <w:spacing w:after="0"/>
        <w:rPr>
          <w:rFonts w:cs="Times New Roman"/>
          <w:bCs w:val="0"/>
          <w:sz w:val="18"/>
          <w:szCs w:val="20"/>
        </w:rPr>
      </w:pPr>
      <w:bookmarkStart w:id="137" w:name="_Toc256000277"/>
      <w:bookmarkStart w:id="138" w:name="_Toc256000511"/>
      <w:bookmarkStart w:id="139" w:name="_Toc256000488"/>
      <w:bookmarkStart w:id="140" w:name="_Toc256000465"/>
      <w:bookmarkStart w:id="141" w:name="_Toc256000442"/>
      <w:bookmarkStart w:id="142" w:name="_Toc256000419"/>
      <w:bookmarkStart w:id="143" w:name="_Toc256000396"/>
      <w:bookmarkStart w:id="144" w:name="_Toc256000373"/>
      <w:bookmarkStart w:id="145" w:name="_Toc256000350"/>
      <w:bookmarkStart w:id="146" w:name="_Toc256000327"/>
      <w:bookmarkStart w:id="147" w:name="_Toc256000304"/>
      <w:bookmarkStart w:id="148" w:name="_Toc256000281"/>
      <w:bookmarkStart w:id="149" w:name="_Toc256000258"/>
      <w:bookmarkStart w:id="150" w:name="_Toc256000235"/>
      <w:bookmarkStart w:id="151" w:name="_Toc256000212"/>
      <w:bookmarkStart w:id="152" w:name="_Toc256000197"/>
      <w:bookmarkStart w:id="153" w:name="_Toc256000174"/>
      <w:bookmarkStart w:id="154" w:name="_Toc256000129"/>
      <w:bookmarkStart w:id="155" w:name="_Toc256000163"/>
      <w:bookmarkStart w:id="156" w:name="_Toc256000119"/>
      <w:bookmarkStart w:id="157" w:name="_Toc256000092"/>
      <w:bookmarkStart w:id="158" w:name="_Toc256000036"/>
      <w:bookmarkStart w:id="159" w:name="_Toc256000016"/>
      <w:bookmarkStart w:id="160" w:name="_Toc256000073"/>
      <w:bookmarkStart w:id="161" w:name="_Toc499627240"/>
      <w:bookmarkStart w:id="162" w:name="_Toc492642419"/>
      <w:bookmarkStart w:id="163" w:name="_Toc502739293"/>
      <w:bookmarkStart w:id="164" w:name="_Toc502751889"/>
      <w:bookmarkStart w:id="165" w:name="_Toc502836640"/>
      <w:bookmarkStart w:id="166" w:name="_Toc504998951"/>
      <w:bookmarkStart w:id="167" w:name="_Toc505003440"/>
      <w:bookmarkStart w:id="168" w:name="_Toc505172752"/>
      <w:bookmarkStart w:id="169" w:name="_Toc524591880"/>
      <w:r w:rsidRPr="003B2CAE">
        <w:rPr>
          <w:rFonts w:cs="Times New Roman"/>
          <w:bCs w:val="0"/>
          <w:sz w:val="18"/>
          <w:szCs w:val="20"/>
        </w:rPr>
        <w:t xml:space="preserve">2.4 </w:t>
      </w:r>
      <w:r w:rsidRPr="003B2CAE" w:rsidR="009A58FA">
        <w:rPr>
          <w:rFonts w:cs="Times New Roman"/>
          <w:bCs w:val="0"/>
          <w:sz w:val="18"/>
          <w:szCs w:val="20"/>
        </w:rPr>
        <w:t>Entscheidung</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p>
    <w:p w:rsidR="00D92968" w:rsidRPr="003B2CAE" w:rsidP="00D92968" w14:paraId="58196D64" w14:textId="77777777">
      <w:r w:rsidRPr="003B2CAE">
        <w:t xml:space="preserve">Die Bewertung und Entscheidung </w:t>
      </w:r>
      <w:r w:rsidRPr="003B2CAE" w:rsidR="00FD2C47">
        <w:t>von Präqualifizierungs</w:t>
      </w:r>
      <w:r w:rsidRPr="003B2CAE" w:rsidR="00EB1A63">
        <w:t>verfahren</w:t>
      </w:r>
      <w:r w:rsidRPr="003B2CAE">
        <w:t xml:space="preserve"> werden von derselben Person vorgenommen.</w:t>
      </w:r>
    </w:p>
    <w:p w:rsidR="00D92968" w:rsidRPr="003B2CAE" w:rsidP="00D92968" w14:paraId="62868678" w14:textId="77777777">
      <w:r w:rsidRPr="003B2CAE">
        <w:t>Die Entscheidung über Erteilung, Aufrechterhaltung, Änderung, Aussetzung, Entzug oder Verweigerung der Präqualifizierung erfolgt auf Grundlage der vorherigen Bewertung.</w:t>
      </w:r>
    </w:p>
    <w:p w:rsidR="00160517" w:rsidRPr="003B2CAE" w:rsidP="00D92968" w14:paraId="5DE18E12" w14:textId="77777777"/>
    <w:p w:rsidR="00E67CC3" w:rsidRPr="003B2CAE" w:rsidP="00D92968" w14:paraId="311438A2" w14:textId="77777777">
      <w:r w:rsidRPr="003B2CAE">
        <w:t>B</w:t>
      </w:r>
      <w:r w:rsidRPr="003B2CAE" w:rsidR="006B71F3">
        <w:t>ei positiver Entscheidung</w:t>
      </w:r>
      <w:r w:rsidRPr="003B2CAE">
        <w:t xml:space="preserve"> </w:t>
      </w:r>
      <w:r w:rsidRPr="003B2CAE" w:rsidR="00A958C0">
        <w:t>erfolgen</w:t>
      </w:r>
      <w:r w:rsidRPr="003B2CAE" w:rsidR="00884C56">
        <w:t xml:space="preserve"> die Erteilung der Präqualifizierung und </w:t>
      </w:r>
      <w:r w:rsidRPr="003B2CAE" w:rsidR="006B71F3">
        <w:t>die Erstellung des Zertifikates</w:t>
      </w:r>
      <w:r w:rsidRPr="003B2CAE" w:rsidR="00884C56">
        <w:t xml:space="preserve">. Bei </w:t>
      </w:r>
      <w:r w:rsidRPr="003B2CAE">
        <w:t>erfolgreiche</w:t>
      </w:r>
      <w:r w:rsidRPr="003B2CAE" w:rsidR="00884C56">
        <w:t>r</w:t>
      </w:r>
      <w:r w:rsidRPr="003B2CAE">
        <w:t xml:space="preserve"> Überwachung</w:t>
      </w:r>
      <w:r w:rsidRPr="003B2CAE" w:rsidR="00884C56">
        <w:t xml:space="preserve"> </w:t>
      </w:r>
      <w:r w:rsidRPr="003B2CAE" w:rsidR="00C50BD8">
        <w:t>werden</w:t>
      </w:r>
      <w:r w:rsidRPr="003B2CAE" w:rsidR="00884C56">
        <w:t xml:space="preserve"> </w:t>
      </w:r>
      <w:r w:rsidRPr="003B2CAE">
        <w:t>Kunde</w:t>
      </w:r>
      <w:r w:rsidRPr="003B2CAE" w:rsidR="00C50BD8">
        <w:t>n</w:t>
      </w:r>
      <w:r w:rsidRPr="003B2CAE" w:rsidR="00884C56">
        <w:t xml:space="preserve"> über die Aufrechterhaltung der Präqualifizierung informiert.</w:t>
      </w:r>
    </w:p>
    <w:p w:rsidR="00E1287A" w:rsidRPr="003B2CAE" w:rsidP="00D92968" w14:paraId="6FCD6E7F" w14:textId="77777777"/>
    <w:p w:rsidR="00D92968" w:rsidRPr="003B2CAE" w:rsidP="00D92968" w14:paraId="37150190" w14:textId="77777777">
      <w:r w:rsidRPr="003B2CAE">
        <w:t>Negative Entscheidungen werden den Kunden unter Angabe der Gründe mitgeteilt.</w:t>
      </w:r>
      <w:r w:rsidRPr="003B2CAE">
        <w:rPr>
          <w:i/>
        </w:rPr>
        <w:t xml:space="preserve"> </w:t>
      </w:r>
      <w:r w:rsidRPr="003B2CAE">
        <w:t>Wenn der Kunde weiterhin Interesse an einer Präqualifizierung hat, kann der Evaluierungsprozess wieder aufgenommen werden.</w:t>
      </w:r>
    </w:p>
    <w:p w:rsidR="00EB1A63" w:rsidRPr="003B2CAE" w:rsidP="00D92968" w14:paraId="3BE9BBDE" w14:textId="77777777">
      <w:pPr>
        <w:rPr>
          <w:szCs w:val="16"/>
        </w:rPr>
      </w:pPr>
    </w:p>
    <w:p w:rsidR="00D92968" w:rsidRPr="003B2CAE" w:rsidP="00D92968" w14:paraId="10D9033A" w14:textId="77777777">
      <w:pPr>
        <w:rPr>
          <w:szCs w:val="16"/>
        </w:rPr>
      </w:pPr>
      <w:r w:rsidRPr="003B2CAE">
        <w:rPr>
          <w:szCs w:val="16"/>
        </w:rPr>
        <w:t>Die Entscheidung wird in der jeweiligen Präqualifizierungsakte dokumentiert.</w:t>
      </w:r>
    </w:p>
    <w:p w:rsidR="00D92968" w:rsidRPr="003B2CAE" w:rsidP="00D92968" w14:paraId="705D77CC" w14:textId="77777777">
      <w:pPr>
        <w:pStyle w:val="Default"/>
        <w:rPr>
          <w:sz w:val="16"/>
          <w:szCs w:val="18"/>
        </w:rPr>
      </w:pPr>
    </w:p>
    <w:p w:rsidR="00E1287A" w:rsidRPr="003B2CAE" w:rsidP="00D92968" w14:paraId="4CC9C1FF" w14:textId="77777777">
      <w:pPr>
        <w:pStyle w:val="Default"/>
        <w:rPr>
          <w:sz w:val="16"/>
          <w:szCs w:val="18"/>
        </w:rPr>
      </w:pPr>
    </w:p>
    <w:p w:rsidR="00D92968" w:rsidRPr="003B2CAE" w:rsidP="00D9425D" w14:paraId="73243B42" w14:textId="77777777">
      <w:pPr>
        <w:pStyle w:val="Heading3"/>
        <w:numPr>
          <w:ilvl w:val="0"/>
          <w:numId w:val="0"/>
        </w:numPr>
        <w:spacing w:after="0"/>
        <w:rPr>
          <w:rFonts w:cs="Times New Roman"/>
          <w:bCs w:val="0"/>
          <w:sz w:val="18"/>
          <w:szCs w:val="20"/>
        </w:rPr>
      </w:pPr>
      <w:r w:rsidRPr="003B2CAE">
        <w:rPr>
          <w:rFonts w:cs="Times New Roman"/>
          <w:bCs w:val="0"/>
          <w:sz w:val="18"/>
          <w:szCs w:val="20"/>
        </w:rPr>
        <w:t xml:space="preserve">2.5 </w:t>
      </w:r>
      <w:r w:rsidRPr="003B2CAE" w:rsidR="009A58FA">
        <w:rPr>
          <w:rFonts w:cs="Times New Roman"/>
          <w:bCs w:val="0"/>
          <w:sz w:val="18"/>
          <w:szCs w:val="20"/>
        </w:rPr>
        <w:t xml:space="preserve">Zertifikatserteilung </w:t>
      </w:r>
    </w:p>
    <w:p w:rsidR="00D92968" w:rsidRPr="003B2CAE" w:rsidP="00D92968" w14:paraId="50025B32" w14:textId="77777777">
      <w:r w:rsidRPr="003B2CAE">
        <w:t>Bei positiver Entscheidung wird dem Kunden ein Zertifikat erteilt, das auf höchstens fünf Jahre befristet wird.</w:t>
      </w:r>
    </w:p>
    <w:p w:rsidR="00D92968" w:rsidRPr="003B2CAE" w:rsidP="00D92968" w14:paraId="05716FB3" w14:textId="77777777"/>
    <w:p w:rsidR="00D92968" w:rsidRPr="003B2CAE" w:rsidP="00D92968" w14:paraId="6BD6D408" w14:textId="77777777">
      <w:r w:rsidRPr="003B2CAE">
        <w:t>Das Zertifikat enthält mindestens die folgenden Angaben:</w:t>
      </w:r>
    </w:p>
    <w:p w:rsidR="00D92968" w:rsidRPr="003B2CAE" w:rsidP="00EB1A63" w14:paraId="2B9124FA" w14:textId="77777777">
      <w:pPr>
        <w:pStyle w:val="ListParagraph"/>
        <w:numPr>
          <w:ilvl w:val="0"/>
          <w:numId w:val="30"/>
        </w:numPr>
        <w:ind w:left="284" w:hanging="284"/>
        <w:jc w:val="left"/>
        <w:rPr>
          <w:rStyle w:val="Strong"/>
          <w:rFonts w:ascii="Arial" w:hAnsi="Arial" w:cs="Arial"/>
          <w:bCs/>
        </w:rPr>
      </w:pPr>
      <w:r w:rsidRPr="003B2CAE">
        <w:rPr>
          <w:rStyle w:val="Strong"/>
          <w:rFonts w:ascii="Arial" w:hAnsi="Arial" w:cs="Arial"/>
          <w:bCs/>
        </w:rPr>
        <w:t>Namen bzw. Bezeichnung des präqualifizierten Unternehmens</w:t>
      </w:r>
      <w:r w:rsidRPr="003B2CAE">
        <w:rPr>
          <w:rFonts w:cs="Arial"/>
        </w:rPr>
        <w:t xml:space="preserve"> (Hauptbetrieb bzw. Betriebsstätte/</w:t>
      </w:r>
      <w:r w:rsidRPr="003B2CAE" w:rsidR="009C7B88">
        <w:rPr>
          <w:rFonts w:cs="Arial"/>
        </w:rPr>
        <w:t xml:space="preserve"> </w:t>
      </w:r>
      <w:r w:rsidRPr="003B2CAE">
        <w:rPr>
          <w:rFonts w:cs="Arial"/>
        </w:rPr>
        <w:t>Filiale oder Tochterunternehmen)</w:t>
      </w:r>
    </w:p>
    <w:p w:rsidR="00D92968" w:rsidRPr="003B2CAE" w:rsidP="00EB1A63" w14:paraId="7A445E36" w14:textId="77777777">
      <w:pPr>
        <w:pStyle w:val="ListParagraph"/>
        <w:numPr>
          <w:ilvl w:val="0"/>
          <w:numId w:val="30"/>
        </w:numPr>
        <w:ind w:left="284" w:hanging="284"/>
        <w:jc w:val="left"/>
        <w:rPr>
          <w:rStyle w:val="Strong"/>
          <w:rFonts w:ascii="Arial" w:hAnsi="Arial" w:cs="Arial"/>
          <w:bCs/>
        </w:rPr>
      </w:pPr>
      <w:r w:rsidRPr="003B2CAE">
        <w:rPr>
          <w:rStyle w:val="Strong"/>
          <w:rFonts w:ascii="Arial" w:hAnsi="Arial" w:cs="Arial"/>
          <w:bCs/>
        </w:rPr>
        <w:t>Anschrift des präqualifizierten Unternehmens</w:t>
      </w:r>
    </w:p>
    <w:p w:rsidR="00D92968" w:rsidRPr="003B2CAE" w:rsidP="00EB1A63" w14:paraId="2BDF4431" w14:textId="77777777">
      <w:pPr>
        <w:pStyle w:val="ListParagraph"/>
        <w:numPr>
          <w:ilvl w:val="0"/>
          <w:numId w:val="30"/>
        </w:numPr>
        <w:ind w:left="284" w:hanging="284"/>
        <w:jc w:val="left"/>
        <w:rPr>
          <w:rStyle w:val="Strong"/>
          <w:rFonts w:ascii="Arial" w:hAnsi="Arial" w:cs="Arial"/>
          <w:bCs/>
        </w:rPr>
      </w:pPr>
      <w:r w:rsidRPr="003B2CAE">
        <w:rPr>
          <w:rStyle w:val="Strong"/>
          <w:rFonts w:ascii="Arial" w:hAnsi="Arial" w:cs="Arial"/>
          <w:bCs/>
        </w:rPr>
        <w:t>Institutionskennzeichen des präqualifizierten Unternehmens</w:t>
      </w:r>
    </w:p>
    <w:p w:rsidR="0093193A" w:rsidRPr="003B2CAE" w:rsidP="0093193A" w14:paraId="2F47C7F8" w14:textId="77777777">
      <w:pPr>
        <w:pStyle w:val="ListParagraph"/>
        <w:numPr>
          <w:ilvl w:val="0"/>
          <w:numId w:val="30"/>
        </w:numPr>
        <w:ind w:left="284" w:hanging="284"/>
        <w:jc w:val="left"/>
        <w:rPr>
          <w:rStyle w:val="Strong"/>
          <w:rFonts w:ascii="Arial" w:hAnsi="Arial" w:cs="Arial"/>
          <w:bCs/>
        </w:rPr>
      </w:pPr>
      <w:r w:rsidRPr="003B2CAE">
        <w:rPr>
          <w:rStyle w:val="Strong"/>
          <w:rFonts w:ascii="Arial" w:hAnsi="Arial" w:cs="Arial"/>
          <w:bCs/>
        </w:rPr>
        <w:t>Bei Filialbetrieben auch Angaben über den Hauptbetrieb</w:t>
      </w:r>
    </w:p>
    <w:p w:rsidR="0093193A" w:rsidRPr="003B2CAE" w:rsidP="0093193A" w14:paraId="6FCF4976" w14:textId="77777777">
      <w:pPr>
        <w:pStyle w:val="ListParagraph"/>
        <w:numPr>
          <w:ilvl w:val="0"/>
          <w:numId w:val="30"/>
        </w:numPr>
        <w:ind w:left="284" w:hanging="284"/>
        <w:jc w:val="left"/>
        <w:rPr>
          <w:rStyle w:val="Strong"/>
          <w:rFonts w:ascii="Arial" w:hAnsi="Arial" w:cs="Arial"/>
          <w:bCs/>
        </w:rPr>
      </w:pPr>
      <w:r w:rsidRPr="003B2CAE">
        <w:rPr>
          <w:rStyle w:val="Strong"/>
          <w:rFonts w:ascii="Arial" w:hAnsi="Arial" w:cs="Arial"/>
          <w:bCs/>
        </w:rPr>
        <w:t>Versorgungsbereich oder Versorgungsbereiche, für die die Präqualifizierung erteilt wird inkl. Namen der fachlichen Leitung</w:t>
      </w:r>
    </w:p>
    <w:p w:rsidR="00D92968" w:rsidRPr="003B2CAE" w:rsidP="0093193A" w14:paraId="7E4221EF" w14:textId="77777777">
      <w:pPr>
        <w:pStyle w:val="ListParagraph"/>
        <w:numPr>
          <w:ilvl w:val="0"/>
          <w:numId w:val="30"/>
        </w:numPr>
        <w:ind w:left="284" w:hanging="284"/>
        <w:jc w:val="left"/>
        <w:rPr>
          <w:rStyle w:val="Strong"/>
          <w:rFonts w:ascii="Arial" w:hAnsi="Arial" w:cs="Arial"/>
          <w:bCs/>
        </w:rPr>
      </w:pPr>
      <w:r w:rsidRPr="003B2CAE">
        <w:rPr>
          <w:rStyle w:val="Strong"/>
          <w:rFonts w:ascii="Arial" w:hAnsi="Arial" w:cs="Arial"/>
          <w:bCs/>
        </w:rPr>
        <w:t>Datum des Antrags, auf den sich die Bescheinigung bezieht</w:t>
      </w:r>
    </w:p>
    <w:p w:rsidR="00D92968" w:rsidRPr="003B2CAE" w:rsidP="00EB1A63" w14:paraId="4A1CC795" w14:textId="77777777">
      <w:pPr>
        <w:pStyle w:val="ListParagraph"/>
        <w:numPr>
          <w:ilvl w:val="0"/>
          <w:numId w:val="30"/>
        </w:numPr>
        <w:ind w:left="284" w:hanging="284"/>
        <w:jc w:val="left"/>
        <w:rPr>
          <w:rStyle w:val="Strong"/>
          <w:rFonts w:ascii="Arial" w:hAnsi="Arial" w:cs="Arial"/>
          <w:bCs/>
        </w:rPr>
      </w:pPr>
      <w:r w:rsidRPr="003B2CAE">
        <w:rPr>
          <w:rStyle w:val="Strong"/>
          <w:rFonts w:ascii="Arial" w:hAnsi="Arial" w:cs="Arial"/>
          <w:bCs/>
        </w:rPr>
        <w:t xml:space="preserve">Ausstellungsdatum, Ausstellungsort und </w:t>
      </w:r>
      <w:r w:rsidRPr="003B2CAE" w:rsidR="004463E9">
        <w:rPr>
          <w:rStyle w:val="Strong"/>
          <w:rFonts w:ascii="Arial" w:hAnsi="Arial" w:cs="Arial"/>
          <w:bCs/>
        </w:rPr>
        <w:t>Gültigkeitsdauer des</w:t>
      </w:r>
      <w:r w:rsidRPr="003B2CAE">
        <w:rPr>
          <w:rStyle w:val="Strong"/>
          <w:rFonts w:ascii="Arial" w:hAnsi="Arial" w:cs="Arial"/>
          <w:bCs/>
        </w:rPr>
        <w:t xml:space="preserve"> </w:t>
      </w:r>
      <w:r w:rsidRPr="003B2CAE" w:rsidR="0093193A">
        <w:rPr>
          <w:rStyle w:val="Strong"/>
          <w:rFonts w:ascii="Arial" w:hAnsi="Arial" w:cs="Arial"/>
          <w:bCs/>
        </w:rPr>
        <w:t>Zertifikat</w:t>
      </w:r>
      <w:r w:rsidRPr="003B2CAE" w:rsidR="004463E9">
        <w:rPr>
          <w:rStyle w:val="Strong"/>
          <w:rFonts w:ascii="Arial" w:hAnsi="Arial" w:cs="Arial"/>
          <w:bCs/>
        </w:rPr>
        <w:t>es</w:t>
      </w:r>
    </w:p>
    <w:p w:rsidR="004B3117" w:rsidRPr="003B2CAE" w:rsidP="004B3117" w14:paraId="4D217F69" w14:textId="77777777">
      <w:pPr>
        <w:pStyle w:val="ListParagraph"/>
        <w:numPr>
          <w:ilvl w:val="0"/>
          <w:numId w:val="30"/>
        </w:numPr>
        <w:ind w:left="284" w:hanging="284"/>
        <w:jc w:val="left"/>
        <w:rPr>
          <w:rStyle w:val="Strong"/>
          <w:rFonts w:ascii="Arial" w:hAnsi="Arial" w:cs="Arial"/>
          <w:bCs/>
        </w:rPr>
      </w:pPr>
      <w:r w:rsidRPr="003B2CAE">
        <w:rPr>
          <w:rStyle w:val="Strong"/>
          <w:rFonts w:ascii="Arial" w:hAnsi="Arial" w:cs="Arial"/>
          <w:bCs/>
        </w:rPr>
        <w:t>Name und Anschrift der ausstellenden Präqualifizierungs-stelle</w:t>
      </w:r>
      <w:r w:rsidRPr="003B2CAE" w:rsidR="00D64B05">
        <w:rPr>
          <w:rStyle w:val="Strong"/>
          <w:rFonts w:ascii="Arial" w:hAnsi="Arial" w:cs="Arial"/>
          <w:bCs/>
        </w:rPr>
        <w:t xml:space="preserve"> inkl. Nennung der verantwortlichen Leitung</w:t>
      </w:r>
      <w:r w:rsidRPr="003B2CAE">
        <w:rPr>
          <w:rStyle w:val="Strong"/>
          <w:rFonts w:ascii="Arial" w:hAnsi="Arial" w:cs="Arial"/>
          <w:bCs/>
        </w:rPr>
        <w:t xml:space="preserve"> </w:t>
      </w:r>
    </w:p>
    <w:p w:rsidR="00D92968" w:rsidRPr="003B2CAE" w:rsidP="003413D4" w14:paraId="1921C8A5" w14:textId="77777777">
      <w:pPr>
        <w:pStyle w:val="ListParagraph"/>
        <w:numPr>
          <w:ilvl w:val="0"/>
          <w:numId w:val="30"/>
        </w:numPr>
        <w:ind w:left="284" w:hanging="284"/>
        <w:jc w:val="left"/>
        <w:rPr>
          <w:rStyle w:val="Strong"/>
          <w:rFonts w:ascii="Arial" w:hAnsi="Arial" w:cs="Arial"/>
          <w:bCs/>
        </w:rPr>
      </w:pPr>
      <w:r w:rsidRPr="003B2CAE">
        <w:rPr>
          <w:rStyle w:val="Strong"/>
          <w:rFonts w:ascii="Arial" w:hAnsi="Arial" w:cs="Arial"/>
          <w:bCs/>
        </w:rPr>
        <w:t xml:space="preserve">Rechtsgültige </w:t>
      </w:r>
      <w:r w:rsidRPr="003B2CAE">
        <w:rPr>
          <w:rFonts w:cs="Arial"/>
        </w:rPr>
        <w:t xml:space="preserve">Unterschrift des verantwortlichen Leiters der Präqualifizierungsstelle </w:t>
      </w:r>
      <w:r w:rsidRPr="003B2CAE" w:rsidR="003413D4">
        <w:rPr>
          <w:rFonts w:cs="Arial"/>
        </w:rPr>
        <w:t xml:space="preserve">mdc </w:t>
      </w:r>
      <w:r w:rsidRPr="003B2CAE">
        <w:rPr>
          <w:rFonts w:cs="Arial"/>
        </w:rPr>
        <w:t>oder seines Vertreters</w:t>
      </w:r>
    </w:p>
    <w:p w:rsidR="00D92968" w:rsidRPr="003B2CAE" w:rsidP="003413D4" w14:paraId="401B3231" w14:textId="77777777">
      <w:pPr>
        <w:pStyle w:val="ListParagraph"/>
        <w:spacing w:line="280" w:lineRule="atLeast"/>
        <w:ind w:left="142"/>
        <w:rPr>
          <w:rStyle w:val="Strong"/>
          <w:rFonts w:ascii="Arial" w:hAnsi="Arial" w:cs="Arial"/>
          <w:bCs/>
        </w:rPr>
      </w:pPr>
    </w:p>
    <w:p w:rsidR="00D92968" w:rsidRPr="003B2CAE" w:rsidP="00EB1A63" w14:paraId="6E6149E1" w14:textId="77777777">
      <w:pPr>
        <w:rPr>
          <w:rStyle w:val="Strong"/>
          <w:rFonts w:ascii="Arial" w:hAnsi="Arial" w:cs="Arial"/>
          <w:bCs/>
        </w:rPr>
      </w:pPr>
      <w:r w:rsidRPr="003B2CAE">
        <w:rPr>
          <w:rStyle w:val="Strong"/>
          <w:rFonts w:ascii="Arial" w:hAnsi="Arial" w:cs="Arial"/>
          <w:bCs/>
        </w:rPr>
        <w:t>Die Laufzeit von Zertifikaten beginnt</w:t>
      </w:r>
      <w:r w:rsidRPr="003B2CAE" w:rsidR="004B3117">
        <w:rPr>
          <w:rStyle w:val="Strong"/>
          <w:rFonts w:ascii="Arial" w:hAnsi="Arial" w:cs="Arial"/>
          <w:bCs/>
        </w:rPr>
        <w:t xml:space="preserve"> frühestens</w:t>
      </w:r>
      <w:r w:rsidRPr="003B2CAE">
        <w:rPr>
          <w:rStyle w:val="Strong"/>
          <w:rFonts w:ascii="Arial" w:hAnsi="Arial" w:cs="Arial"/>
          <w:bCs/>
        </w:rPr>
        <w:t xml:space="preserve"> am Tag oder nach dem Zeitpunkt der erfolgten Entscheidung. Die Rückdatierung von Zertifikaten ist nicht möglich.</w:t>
      </w:r>
    </w:p>
    <w:p w:rsidR="00D92968" w:rsidRPr="003B2CAE" w:rsidP="00EB1A63" w14:paraId="255C32E7" w14:textId="77777777">
      <w:r w:rsidRPr="003B2CAE">
        <w:t>Zertifikate bleiben wirksam, solange und soweit sie nicht zurückgenommen, widerrufen, anderweitig aufgehoben, aufgrund einer Aussetzung oder Zurückziehung der Akkreditierung der Präqualifizierungsstelle oder auf andere Weise ungültig werden.</w:t>
      </w:r>
    </w:p>
    <w:p w:rsidR="00E1287A" w:rsidRPr="003B2CAE" w:rsidP="00EB1A63" w14:paraId="5D198CA0" w14:textId="77777777"/>
    <w:p w:rsidR="00D92968" w:rsidRPr="003B2CAE" w:rsidP="00EB1A63" w14:paraId="3834C59E" w14:textId="77777777">
      <w:r w:rsidRPr="003B2CAE">
        <w:t xml:space="preserve">Die </w:t>
      </w:r>
      <w:r w:rsidRPr="003B2CAE">
        <w:rPr>
          <w:rFonts w:eastAsiaTheme="minorEastAsia"/>
        </w:rPr>
        <w:t>Präqualifizierungsstelle</w:t>
      </w:r>
      <w:r w:rsidRPr="003B2CAE">
        <w:t xml:space="preserve"> kann offenbare redaktionelle Unrichtigkeiten (z.B. Schreibfehler) in einem Zertifikat jederzeit berichtigen.</w:t>
      </w:r>
    </w:p>
    <w:p w:rsidR="00D92968" w:rsidRPr="003B2CAE" w:rsidP="007934FB" w14:paraId="5B8E2307" w14:textId="77777777">
      <w:pPr>
        <w:rPr>
          <w:rFonts w:cs="Arial"/>
        </w:rPr>
      </w:pPr>
    </w:p>
    <w:p w:rsidR="007934FB" w:rsidRPr="003B2CAE" w:rsidP="007934FB" w14:paraId="76E29B35" w14:textId="77777777">
      <w:pPr>
        <w:rPr>
          <w:rFonts w:cs="Arial"/>
        </w:rPr>
      </w:pPr>
    </w:p>
    <w:p w:rsidR="00D92968" w:rsidRPr="003B2CAE" w:rsidP="00D9425D" w14:paraId="6E692E05" w14:textId="77777777">
      <w:pPr>
        <w:pStyle w:val="Heading2"/>
      </w:pPr>
      <w:bookmarkStart w:id="170" w:name="_Toc256000323"/>
      <w:bookmarkStart w:id="171" w:name="_Toc256000513"/>
      <w:bookmarkStart w:id="172" w:name="_Toc256000490"/>
      <w:bookmarkStart w:id="173" w:name="_Toc256000467"/>
      <w:bookmarkStart w:id="174" w:name="_Toc256000444"/>
      <w:bookmarkStart w:id="175" w:name="_Toc256000421"/>
      <w:bookmarkStart w:id="176" w:name="_Toc256000398"/>
      <w:bookmarkStart w:id="177" w:name="_Toc256000375"/>
      <w:bookmarkStart w:id="178" w:name="_Toc256000352"/>
      <w:bookmarkStart w:id="179" w:name="_Toc256000329"/>
      <w:bookmarkStart w:id="180" w:name="_Toc256000306"/>
      <w:bookmarkStart w:id="181" w:name="_Toc256000283"/>
      <w:bookmarkStart w:id="182" w:name="_Toc256000260"/>
      <w:bookmarkStart w:id="183" w:name="_Toc256000237"/>
      <w:bookmarkStart w:id="184" w:name="_Toc256000214"/>
      <w:bookmarkStart w:id="185" w:name="_Toc256000199"/>
      <w:bookmarkStart w:id="186" w:name="_Toc256000176"/>
      <w:bookmarkStart w:id="187" w:name="_Toc256000131"/>
      <w:bookmarkStart w:id="188" w:name="_Toc256000165"/>
      <w:bookmarkStart w:id="189" w:name="_Toc256000121"/>
      <w:bookmarkStart w:id="190" w:name="_Toc256000094"/>
      <w:bookmarkStart w:id="191" w:name="_Toc256000039"/>
      <w:bookmarkStart w:id="192" w:name="_Toc256000019"/>
      <w:bookmarkStart w:id="193" w:name="_Toc256000075"/>
      <w:bookmarkStart w:id="194" w:name="_Toc499627242"/>
      <w:bookmarkStart w:id="195" w:name="_Toc492642421"/>
      <w:bookmarkStart w:id="196" w:name="_Toc502739295"/>
      <w:bookmarkStart w:id="197" w:name="_Toc502751891"/>
      <w:bookmarkStart w:id="198" w:name="_Toc502836642"/>
      <w:bookmarkStart w:id="199" w:name="_Toc504998953"/>
      <w:bookmarkStart w:id="200" w:name="_Toc505003442"/>
      <w:bookmarkStart w:id="201" w:name="_Toc505172754"/>
      <w:bookmarkStart w:id="202" w:name="_Toc524591882"/>
      <w:r w:rsidRPr="003B2CAE">
        <w:t xml:space="preserve">2.6 </w:t>
      </w:r>
      <w:r w:rsidRPr="003B2CAE" w:rsidR="009A58FA">
        <w:t>Verzeichnis - Präqualifizierung</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rsidR="00D92968" w:rsidRPr="003B2CAE" w:rsidP="00D92968" w14:paraId="54177A10" w14:textId="77777777">
      <w:pPr>
        <w:autoSpaceDE w:val="0"/>
        <w:autoSpaceDN w:val="0"/>
        <w:adjustRightInd w:val="0"/>
        <w:rPr>
          <w:rFonts w:eastAsiaTheme="minorEastAsia" w:cs="Arial"/>
        </w:rPr>
      </w:pPr>
      <w:r w:rsidRPr="003B2CAE">
        <w:rPr>
          <w:rFonts w:eastAsiaTheme="minorEastAsia" w:cs="Arial"/>
        </w:rPr>
        <w:t>Der GKV-Spitzenverband ist durch die Präqualifizierungsstelle entsprechend seiner Vorgaben über ausgestellte sowie über verweigerte, eingeschränkte, ausgesetzte und zurückgezogene Zertifikate einschließlich der für die Identifizierung der jeweiligen Leistungserbringer/Kunden erforderlichen Daten zu unterrichten.</w:t>
      </w:r>
    </w:p>
    <w:p w:rsidR="00D92968" w:rsidRPr="003B2CAE" w:rsidP="00D92968" w14:paraId="23B2A895" w14:textId="77777777">
      <w:pPr>
        <w:autoSpaceDE w:val="0"/>
        <w:autoSpaceDN w:val="0"/>
        <w:adjustRightInd w:val="0"/>
        <w:rPr>
          <w:rFonts w:eastAsiaTheme="minorEastAsia" w:cs="Arial"/>
        </w:rPr>
      </w:pPr>
    </w:p>
    <w:p w:rsidR="00D92968" w:rsidRPr="003B2CAE" w:rsidP="00D92968" w14:paraId="17FA1DC5" w14:textId="77777777">
      <w:pPr>
        <w:autoSpaceDE w:val="0"/>
        <w:autoSpaceDN w:val="0"/>
        <w:adjustRightInd w:val="0"/>
        <w:rPr>
          <w:rFonts w:eastAsiaTheme="minorEastAsia" w:cs="Arial"/>
        </w:rPr>
      </w:pPr>
      <w:r w:rsidRPr="003B2CAE">
        <w:rPr>
          <w:rFonts w:eastAsiaTheme="minorEastAsia" w:cs="Arial"/>
        </w:rPr>
        <w:t xml:space="preserve">Die Übermittlung der Daten erfolgt nach den Vorgaben des GKV-Spitzenverbandes. Die Einzelheiten zu den technischen Voraussetzungen und zu den Abläufen der elektronischen Datenübermittlung der Präqualifizierungsdaten (Nutzdaten) zu Präqualifizierungsverfahren von Hilfsmittelleistungserbringern an den GKV-Spitzenverband sind in den Dokumenten auf der Webseite </w:t>
      </w:r>
      <w:hyperlink r:id="rId9" w:history="1">
        <w:r w:rsidRPr="003B2CAE">
          <w:rPr>
            <w:rStyle w:val="Hyperlink"/>
            <w:rFonts w:eastAsiaTheme="minorEastAsia" w:cs="Arial"/>
          </w:rPr>
          <w:t>www.gkv-datenaustausch.de</w:t>
        </w:r>
      </w:hyperlink>
      <w:r w:rsidRPr="003B2CAE">
        <w:rPr>
          <w:rFonts w:eastAsiaTheme="minorEastAsia" w:cs="Arial"/>
        </w:rPr>
        <w:t xml:space="preserve"> hinterlegt.</w:t>
      </w:r>
    </w:p>
    <w:p w:rsidR="00D92968" w:rsidRPr="003B2CAE" w:rsidP="00D92968" w14:paraId="7154C689" w14:textId="77777777">
      <w:pPr>
        <w:autoSpaceDE w:val="0"/>
        <w:autoSpaceDN w:val="0"/>
        <w:adjustRightInd w:val="0"/>
        <w:rPr>
          <w:rFonts w:eastAsiaTheme="minorEastAsia" w:cs="Arial"/>
          <w:sz w:val="18"/>
          <w:szCs w:val="18"/>
        </w:rPr>
      </w:pPr>
    </w:p>
    <w:p w:rsidR="00D92968" w:rsidRPr="003B2CAE" w:rsidP="00D92968" w14:paraId="5C5169E8" w14:textId="77777777">
      <w:pPr>
        <w:autoSpaceDE w:val="0"/>
        <w:autoSpaceDN w:val="0"/>
        <w:adjustRightInd w:val="0"/>
        <w:rPr>
          <w:rFonts w:eastAsiaTheme="minorEastAsia" w:cs="Arial"/>
        </w:rPr>
      </w:pPr>
      <w:r w:rsidRPr="003B2CAE">
        <w:rPr>
          <w:rFonts w:eastAsiaTheme="minorEastAsia" w:cs="Arial"/>
        </w:rPr>
        <w:t>Die Präqualifizierungsstelle stellt insbesondere folgende Daten im Format XML gemäß Vorgabe des GKV-Spitzenverbandes bereit:</w:t>
      </w:r>
    </w:p>
    <w:p w:rsidR="00D92968" w:rsidRPr="003B2CAE" w:rsidP="00DA49F4" w14:paraId="3A58D81A" w14:textId="77777777">
      <w:pPr>
        <w:pStyle w:val="ListParagraph"/>
        <w:numPr>
          <w:ilvl w:val="0"/>
          <w:numId w:val="33"/>
        </w:numPr>
        <w:autoSpaceDE w:val="0"/>
        <w:autoSpaceDN w:val="0"/>
        <w:adjustRightInd w:val="0"/>
        <w:ind w:left="284" w:hanging="284"/>
        <w:jc w:val="left"/>
        <w:rPr>
          <w:rFonts w:eastAsiaTheme="minorEastAsia" w:cs="Arial"/>
        </w:rPr>
      </w:pPr>
      <w:r w:rsidRPr="003B2CAE">
        <w:rPr>
          <w:rFonts w:eastAsiaTheme="minorEastAsia" w:cs="Arial"/>
        </w:rPr>
        <w:t>ID der Präqualifizierungsstelle</w:t>
      </w:r>
    </w:p>
    <w:p w:rsidR="00D92968" w:rsidRPr="003B2CAE" w:rsidP="00DA49F4" w14:paraId="7D6729B8" w14:textId="77777777">
      <w:pPr>
        <w:pStyle w:val="ListParagraph"/>
        <w:numPr>
          <w:ilvl w:val="0"/>
          <w:numId w:val="33"/>
        </w:numPr>
        <w:autoSpaceDE w:val="0"/>
        <w:autoSpaceDN w:val="0"/>
        <w:adjustRightInd w:val="0"/>
        <w:ind w:left="284" w:hanging="284"/>
        <w:jc w:val="left"/>
        <w:rPr>
          <w:rFonts w:eastAsiaTheme="minorEastAsia" w:cs="Arial"/>
        </w:rPr>
      </w:pPr>
      <w:r w:rsidRPr="003B2CAE">
        <w:rPr>
          <w:rFonts w:eastAsiaTheme="minorEastAsia" w:cs="Arial"/>
        </w:rPr>
        <w:t xml:space="preserve">Adressdaten des Leistungserbringers und der </w:t>
      </w:r>
      <w:r w:rsidR="002D746C">
        <w:rPr>
          <w:rFonts w:eastAsiaTheme="minorEastAsia" w:cs="Arial"/>
        </w:rPr>
        <w:t>präqual</w:t>
      </w:r>
      <w:r w:rsidRPr="003B2CAE">
        <w:rPr>
          <w:rFonts w:eastAsiaTheme="minorEastAsia" w:cs="Arial"/>
        </w:rPr>
        <w:t>ifizierten Betriebsstätten/Filialen etc. inkl. I</w:t>
      </w:r>
      <w:r w:rsidRPr="003B2CAE" w:rsidR="00BB4C1C">
        <w:rPr>
          <w:rFonts w:eastAsiaTheme="minorEastAsia" w:cs="Arial"/>
        </w:rPr>
        <w:t>nstitutionskennzeichen</w:t>
      </w:r>
    </w:p>
    <w:p w:rsidR="00D92968" w:rsidRPr="003B2CAE" w:rsidP="00DA49F4" w14:paraId="79B87499" w14:textId="77777777">
      <w:pPr>
        <w:pStyle w:val="ListParagraph"/>
        <w:numPr>
          <w:ilvl w:val="0"/>
          <w:numId w:val="33"/>
        </w:numPr>
        <w:autoSpaceDE w:val="0"/>
        <w:autoSpaceDN w:val="0"/>
        <w:adjustRightInd w:val="0"/>
        <w:ind w:left="284" w:hanging="284"/>
        <w:jc w:val="left"/>
        <w:rPr>
          <w:rFonts w:eastAsiaTheme="minorEastAsia" w:cs="Arial"/>
        </w:rPr>
      </w:pPr>
      <w:r w:rsidRPr="003B2CAE">
        <w:rPr>
          <w:rFonts w:eastAsiaTheme="minorEastAsia" w:cs="Arial"/>
        </w:rPr>
        <w:t>Versorgungsbereiche, für die das Zertifikat gilt</w:t>
      </w:r>
    </w:p>
    <w:p w:rsidR="00D92968" w:rsidRPr="003B2CAE" w:rsidP="00DA49F4" w14:paraId="345DFC0E" w14:textId="77777777">
      <w:pPr>
        <w:pStyle w:val="ListParagraph"/>
        <w:numPr>
          <w:ilvl w:val="0"/>
          <w:numId w:val="33"/>
        </w:numPr>
        <w:autoSpaceDE w:val="0"/>
        <w:autoSpaceDN w:val="0"/>
        <w:adjustRightInd w:val="0"/>
        <w:ind w:left="284" w:hanging="284"/>
        <w:jc w:val="left"/>
        <w:rPr>
          <w:rFonts w:eastAsiaTheme="minorEastAsia" w:cs="Arial"/>
        </w:rPr>
      </w:pPr>
      <w:r w:rsidRPr="003B2CAE">
        <w:rPr>
          <w:rFonts w:eastAsiaTheme="minorEastAsia" w:cs="Arial"/>
        </w:rPr>
        <w:t>Name des fachlichen Leiters oder der für die Leistungserbringung verantwortlichen Person</w:t>
      </w:r>
    </w:p>
    <w:p w:rsidR="00D92968" w:rsidRPr="003B2CAE" w:rsidP="00DA49F4" w14:paraId="149B8346" w14:textId="77777777">
      <w:pPr>
        <w:pStyle w:val="ListParagraph"/>
        <w:numPr>
          <w:ilvl w:val="0"/>
          <w:numId w:val="33"/>
        </w:numPr>
        <w:autoSpaceDE w:val="0"/>
        <w:autoSpaceDN w:val="0"/>
        <w:adjustRightInd w:val="0"/>
        <w:ind w:left="284" w:hanging="284"/>
        <w:jc w:val="left"/>
        <w:rPr>
          <w:rFonts w:eastAsiaTheme="minorEastAsia" w:cs="Arial"/>
        </w:rPr>
      </w:pPr>
      <w:r w:rsidRPr="003B2CAE">
        <w:rPr>
          <w:rFonts w:eastAsiaTheme="minorEastAsia" w:cs="Arial"/>
        </w:rPr>
        <w:t>Gültigkeit des Zertifikats</w:t>
      </w:r>
    </w:p>
    <w:p w:rsidR="00D92968" w:rsidRPr="003B2CAE" w:rsidP="00DA49F4" w14:paraId="2D07D445" w14:textId="77777777">
      <w:pPr>
        <w:pStyle w:val="ListParagraph"/>
        <w:numPr>
          <w:ilvl w:val="0"/>
          <w:numId w:val="33"/>
        </w:numPr>
        <w:autoSpaceDE w:val="0"/>
        <w:autoSpaceDN w:val="0"/>
        <w:adjustRightInd w:val="0"/>
        <w:ind w:left="284" w:hanging="284"/>
        <w:jc w:val="left"/>
        <w:rPr>
          <w:rFonts w:eastAsiaTheme="minorEastAsia" w:cs="Arial"/>
        </w:rPr>
      </w:pPr>
      <w:r w:rsidRPr="003B2CAE">
        <w:rPr>
          <w:rFonts w:eastAsiaTheme="minorEastAsia" w:cs="Arial"/>
        </w:rPr>
        <w:t>E</w:t>
      </w:r>
      <w:r w:rsidRPr="003B2CAE" w:rsidR="00B22D50">
        <w:rPr>
          <w:rFonts w:eastAsiaTheme="minorEastAsia" w:cs="Arial"/>
        </w:rPr>
        <w:t>rgebnis</w:t>
      </w:r>
    </w:p>
    <w:p w:rsidR="00D92968" w:rsidRPr="003B2CAE" w:rsidP="00DA49F4" w14:paraId="20672B9E" w14:textId="77777777">
      <w:pPr>
        <w:pStyle w:val="ListParagraph"/>
        <w:numPr>
          <w:ilvl w:val="0"/>
          <w:numId w:val="33"/>
        </w:numPr>
        <w:autoSpaceDE w:val="0"/>
        <w:autoSpaceDN w:val="0"/>
        <w:adjustRightInd w:val="0"/>
        <w:ind w:left="284" w:hanging="284"/>
        <w:jc w:val="left"/>
        <w:rPr>
          <w:rFonts w:eastAsiaTheme="minorEastAsia" w:cs="Arial"/>
        </w:rPr>
      </w:pPr>
      <w:r w:rsidRPr="003B2CAE">
        <w:rPr>
          <w:rFonts w:eastAsiaTheme="minorEastAsia" w:cs="Arial"/>
        </w:rPr>
        <w:t>Nummer der Bestätigung</w:t>
      </w:r>
    </w:p>
    <w:p w:rsidR="00D92968" w:rsidRPr="003B2CAE" w:rsidP="00D92968" w14:paraId="310109FE" w14:textId="77777777">
      <w:pPr>
        <w:autoSpaceDE w:val="0"/>
        <w:autoSpaceDN w:val="0"/>
        <w:adjustRightInd w:val="0"/>
        <w:rPr>
          <w:rFonts w:eastAsiaTheme="minorEastAsia" w:cs="Arial"/>
        </w:rPr>
      </w:pPr>
      <w:r w:rsidRPr="003B2CAE">
        <w:rPr>
          <w:rFonts w:eastAsiaTheme="minorEastAsia" w:cs="Arial"/>
        </w:rPr>
        <w:t>Die Übermittlung der Daten wird von der Präqualifizierungsstelle sichergestellt. Die Daten werden regelmäßig an den GKV-Spitzenverband übermittelt.</w:t>
      </w:r>
    </w:p>
    <w:p w:rsidR="00D92968" w:rsidRPr="003B2CAE" w:rsidP="00D92968" w14:paraId="0FE91497" w14:textId="77777777">
      <w:pPr>
        <w:autoSpaceDE w:val="0"/>
        <w:autoSpaceDN w:val="0"/>
        <w:adjustRightInd w:val="0"/>
        <w:rPr>
          <w:rFonts w:eastAsiaTheme="minorEastAsia" w:cs="Arial"/>
        </w:rPr>
      </w:pPr>
    </w:p>
    <w:p w:rsidR="00DF0D5C" w:rsidRPr="003B2CAE" w:rsidP="00D92968" w14:paraId="7BC7AAFC" w14:textId="77777777">
      <w:pPr>
        <w:autoSpaceDE w:val="0"/>
        <w:autoSpaceDN w:val="0"/>
        <w:adjustRightInd w:val="0"/>
        <w:rPr>
          <w:rFonts w:eastAsiaTheme="minorEastAsia" w:cs="Arial"/>
        </w:rPr>
      </w:pPr>
    </w:p>
    <w:p w:rsidR="00D92968" w:rsidRPr="003B2CAE" w:rsidP="00D9425D" w14:paraId="35F78659" w14:textId="77777777">
      <w:pPr>
        <w:pStyle w:val="Heading2"/>
      </w:pPr>
      <w:bookmarkStart w:id="203" w:name="_Toc256000346"/>
      <w:bookmarkStart w:id="204" w:name="_Toc256000514"/>
      <w:bookmarkStart w:id="205" w:name="_Toc256000491"/>
      <w:bookmarkStart w:id="206" w:name="_Toc256000468"/>
      <w:bookmarkStart w:id="207" w:name="_Toc256000445"/>
      <w:bookmarkStart w:id="208" w:name="_Toc256000422"/>
      <w:bookmarkStart w:id="209" w:name="_Toc256000399"/>
      <w:bookmarkStart w:id="210" w:name="_Toc256000376"/>
      <w:bookmarkStart w:id="211" w:name="_Toc256000353"/>
      <w:bookmarkStart w:id="212" w:name="_Toc256000330"/>
      <w:bookmarkStart w:id="213" w:name="_Toc256000307"/>
      <w:bookmarkStart w:id="214" w:name="_Toc256000284"/>
      <w:bookmarkStart w:id="215" w:name="_Toc256000261"/>
      <w:bookmarkStart w:id="216" w:name="_Toc256000238"/>
      <w:bookmarkStart w:id="217" w:name="_Toc256000215"/>
      <w:bookmarkStart w:id="218" w:name="_Toc256000200"/>
      <w:bookmarkStart w:id="219" w:name="_Toc256000177"/>
      <w:bookmarkStart w:id="220" w:name="_Toc256000132"/>
      <w:bookmarkStart w:id="221" w:name="_Toc256000166"/>
      <w:bookmarkStart w:id="222" w:name="_Toc256000122"/>
      <w:bookmarkStart w:id="223" w:name="_Toc256000095"/>
      <w:bookmarkStart w:id="224" w:name="_Toc256000040"/>
      <w:bookmarkStart w:id="225" w:name="_Toc256000020"/>
      <w:bookmarkStart w:id="226" w:name="_Toc256000076"/>
      <w:bookmarkStart w:id="227" w:name="_Toc499627243"/>
      <w:bookmarkStart w:id="228" w:name="_Toc492642422"/>
      <w:bookmarkStart w:id="229" w:name="_Toc502739296"/>
      <w:bookmarkStart w:id="230" w:name="_Toc502751892"/>
      <w:bookmarkStart w:id="231" w:name="_Toc502836643"/>
      <w:bookmarkStart w:id="232" w:name="_Toc504998954"/>
      <w:bookmarkStart w:id="233" w:name="_Toc505003443"/>
      <w:bookmarkStart w:id="234" w:name="_Toc505172755"/>
      <w:bookmarkStart w:id="235" w:name="_Toc524591883"/>
      <w:r w:rsidRPr="003B2CAE">
        <w:t xml:space="preserve">2.7 </w:t>
      </w:r>
      <w:r w:rsidRPr="003B2CAE" w:rsidR="009A58FA">
        <w:t>Überwachung</w:t>
      </w:r>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r w:rsidRPr="003B2CAE" w:rsidR="009A58FA">
        <w:t xml:space="preserve"> </w:t>
      </w:r>
    </w:p>
    <w:p w:rsidR="00D92968" w:rsidRPr="003B2CAE" w:rsidP="00D92968" w14:paraId="73E9E776" w14:textId="77777777">
      <w:pPr>
        <w:autoSpaceDE w:val="0"/>
        <w:autoSpaceDN w:val="0"/>
        <w:adjustRightInd w:val="0"/>
        <w:rPr>
          <w:rFonts w:eastAsiaTheme="minorEastAsia" w:cs="Arial"/>
        </w:rPr>
      </w:pPr>
      <w:r w:rsidRPr="003B2CAE">
        <w:rPr>
          <w:rFonts w:eastAsiaTheme="minorEastAsia" w:cs="Arial"/>
        </w:rPr>
        <w:t xml:space="preserve">Voraussetzung für die Aufrechterhaltung der Präqualifizierung während des Präqualifizierungszeitraums ist die erfolgreiche Durchführung von regelmäßig sich wiederholenden Überwachungsmaßnahmen. Im </w:t>
      </w:r>
      <w:r w:rsidR="002D746C">
        <w:rPr>
          <w:rFonts w:eastAsiaTheme="minorEastAsia" w:cs="Arial"/>
        </w:rPr>
        <w:t>Präqual</w:t>
      </w:r>
      <w:r w:rsidRPr="003B2CAE">
        <w:rPr>
          <w:rFonts w:eastAsiaTheme="minorEastAsia" w:cs="Arial"/>
        </w:rPr>
        <w:t xml:space="preserve">ifizierungszeitraum findet eine 2-malige Überwachung der Leistungserbringer mittels einer Stichprobe statt. </w:t>
      </w:r>
      <w:r w:rsidRPr="003B2CAE">
        <w:t>Die Auswahl zu prüfende</w:t>
      </w:r>
      <w:r w:rsidR="00EF4056">
        <w:t>n</w:t>
      </w:r>
      <w:r w:rsidRPr="003B2CAE">
        <w:t xml:space="preserve"> Anforderungen und Dokumente erfolgt aufgrund einer risikobasierten Stichprobe. </w:t>
      </w:r>
      <w:r w:rsidRPr="003B2CAE">
        <w:rPr>
          <w:rFonts w:eastAsiaTheme="minorEastAsia" w:cs="Arial"/>
        </w:rPr>
        <w:t>Die Art und Weise der stichprobenartigen Überwachung ist abhängig von der Beurteilung der Präqualifizierungsstelle und in Bezug auf den zu überwachenden Standort des Kunden.</w:t>
      </w:r>
    </w:p>
    <w:p w:rsidR="00D92968" w:rsidRPr="003B2CAE" w:rsidP="00D92968" w14:paraId="6F617F9E" w14:textId="77777777">
      <w:pPr>
        <w:autoSpaceDE w:val="0"/>
        <w:autoSpaceDN w:val="0"/>
        <w:adjustRightInd w:val="0"/>
        <w:rPr>
          <w:rFonts w:eastAsiaTheme="minorEastAsia" w:cs="Arial"/>
        </w:rPr>
      </w:pPr>
    </w:p>
    <w:p w:rsidR="00D92968" w:rsidRPr="003B2CAE" w:rsidP="00D92968" w14:paraId="0A69C404" w14:textId="77777777">
      <w:pPr>
        <w:autoSpaceDE w:val="0"/>
        <w:autoSpaceDN w:val="0"/>
        <w:adjustRightInd w:val="0"/>
        <w:rPr>
          <w:rFonts w:eastAsiaTheme="minorEastAsia" w:cs="Arial"/>
        </w:rPr>
      </w:pPr>
      <w:r w:rsidRPr="003B2CAE">
        <w:rPr>
          <w:rFonts w:eastAsiaTheme="minorEastAsia" w:cs="Arial"/>
        </w:rPr>
        <w:t>Überwachungen erfolgen anhand von Begehungen vor Ort oder anhand von Unterlagenprüfungen. Folgende Überwachungsmaßnahmen kommen in Betracht:</w:t>
      </w:r>
    </w:p>
    <w:p w:rsidR="004C7DDB" w:rsidP="00DA49F4" w14:paraId="16918B6C" w14:textId="77777777">
      <w:pPr>
        <w:pStyle w:val="ListParagraph"/>
        <w:numPr>
          <w:ilvl w:val="0"/>
          <w:numId w:val="32"/>
        </w:numPr>
        <w:autoSpaceDE w:val="0"/>
        <w:autoSpaceDN w:val="0"/>
        <w:adjustRightInd w:val="0"/>
        <w:ind w:left="284" w:hanging="284"/>
        <w:jc w:val="left"/>
        <w:rPr>
          <w:rFonts w:eastAsiaTheme="minorEastAsia" w:cs="Arial"/>
        </w:rPr>
      </w:pPr>
      <w:r w:rsidRPr="003B2CAE">
        <w:rPr>
          <w:rFonts w:eastAsiaTheme="minorEastAsia" w:cs="Arial"/>
        </w:rPr>
        <w:t xml:space="preserve">stichprobenbasierte Prüfung von Unterlagen </w:t>
      </w:r>
    </w:p>
    <w:p w:rsidR="00D92968" w:rsidRPr="003B2CAE" w:rsidP="00DA49F4" w14:paraId="689E6A06" w14:textId="77777777">
      <w:pPr>
        <w:pStyle w:val="ListParagraph"/>
        <w:numPr>
          <w:ilvl w:val="0"/>
          <w:numId w:val="32"/>
        </w:numPr>
        <w:autoSpaceDE w:val="0"/>
        <w:autoSpaceDN w:val="0"/>
        <w:adjustRightInd w:val="0"/>
        <w:ind w:left="284" w:hanging="284"/>
        <w:jc w:val="left"/>
        <w:rPr>
          <w:rFonts w:eastAsiaTheme="minorEastAsia" w:cs="Arial"/>
        </w:rPr>
      </w:pPr>
      <w:r>
        <w:rPr>
          <w:rFonts w:eastAsiaTheme="minorEastAsia" w:cs="Arial"/>
        </w:rPr>
        <w:t>bei nicht begehungspflichtigen Versorgungsbereichen</w:t>
      </w:r>
      <w:r w:rsidRPr="003B2CAE">
        <w:rPr>
          <w:rFonts w:eastAsiaTheme="minorEastAsia" w:cs="Arial"/>
        </w:rPr>
        <w:t xml:space="preserve"> </w:t>
      </w:r>
      <w:r>
        <w:rPr>
          <w:rFonts w:eastAsiaTheme="minorEastAsia" w:cs="Arial"/>
        </w:rPr>
        <w:t xml:space="preserve">Fotodokumentation </w:t>
      </w:r>
      <w:r w:rsidR="002A554D">
        <w:rPr>
          <w:rFonts w:eastAsiaTheme="minorEastAsia" w:cs="Arial"/>
        </w:rPr>
        <w:t xml:space="preserve">der ersten 50% </w:t>
      </w:r>
      <w:r w:rsidR="004C7DDB">
        <w:rPr>
          <w:rFonts w:eastAsiaTheme="minorEastAsia" w:cs="Arial"/>
        </w:rPr>
        <w:t xml:space="preserve">der </w:t>
      </w:r>
      <w:r w:rsidRPr="003B2CAE" w:rsidR="001D0D7B">
        <w:rPr>
          <w:rFonts w:eastAsiaTheme="minorEastAsia" w:cs="Arial"/>
        </w:rPr>
        <w:t xml:space="preserve">räumlichen </w:t>
      </w:r>
      <w:r w:rsidR="004C7DDB">
        <w:rPr>
          <w:rFonts w:eastAsiaTheme="minorEastAsia" w:cs="Arial"/>
        </w:rPr>
        <w:t xml:space="preserve">und sachlichen </w:t>
      </w:r>
      <w:r w:rsidRPr="003B2CAE" w:rsidR="0024728A">
        <w:rPr>
          <w:rFonts w:eastAsiaTheme="minorEastAsia" w:cs="Arial"/>
        </w:rPr>
        <w:t xml:space="preserve">Anforderungen zur 1. Überwachung und der </w:t>
      </w:r>
      <w:r w:rsidR="004C7DDB">
        <w:rPr>
          <w:rFonts w:eastAsiaTheme="minorEastAsia" w:cs="Arial"/>
        </w:rPr>
        <w:t xml:space="preserve">zweiten 50% der räumlichen und </w:t>
      </w:r>
      <w:r w:rsidRPr="003B2CAE" w:rsidR="001D0D7B">
        <w:rPr>
          <w:rFonts w:eastAsiaTheme="minorEastAsia" w:cs="Arial"/>
        </w:rPr>
        <w:t xml:space="preserve">sachlichen </w:t>
      </w:r>
      <w:r w:rsidRPr="003B2CAE" w:rsidR="0024728A">
        <w:rPr>
          <w:rFonts w:eastAsiaTheme="minorEastAsia" w:cs="Arial"/>
        </w:rPr>
        <w:t>Anforderungen zur 2. Überwachung</w:t>
      </w:r>
      <w:r w:rsidR="004C7DDB">
        <w:rPr>
          <w:rFonts w:eastAsiaTheme="minorEastAsia" w:cs="Arial"/>
        </w:rPr>
        <w:t xml:space="preserve"> </w:t>
      </w:r>
    </w:p>
    <w:p w:rsidR="00D92968" w:rsidRPr="003B2CAE" w:rsidP="00DA49F4" w14:paraId="20566670" w14:textId="77777777">
      <w:pPr>
        <w:pStyle w:val="ListParagraph"/>
        <w:numPr>
          <w:ilvl w:val="0"/>
          <w:numId w:val="32"/>
        </w:numPr>
        <w:autoSpaceDE w:val="0"/>
        <w:autoSpaceDN w:val="0"/>
        <w:adjustRightInd w:val="0"/>
        <w:ind w:left="284" w:hanging="284"/>
        <w:jc w:val="left"/>
        <w:rPr>
          <w:rFonts w:eastAsiaTheme="minorEastAsia" w:cs="Arial"/>
          <w:strike/>
        </w:rPr>
      </w:pPr>
      <w:r w:rsidRPr="003B2CAE">
        <w:rPr>
          <w:rFonts w:eastAsiaTheme="minorEastAsia" w:cs="Arial"/>
        </w:rPr>
        <w:t xml:space="preserve">verpflichtende </w:t>
      </w:r>
      <w:r w:rsidRPr="003B2CAE" w:rsidR="009A58FA">
        <w:rPr>
          <w:rFonts w:eastAsiaTheme="minorEastAsia" w:cs="Arial"/>
        </w:rPr>
        <w:t>Begehungen (für Versorgungsbereiche der Scopes 1-4, anlassbezogen in allen Scopes)</w:t>
      </w:r>
    </w:p>
    <w:p w:rsidR="00D92968" w:rsidRPr="003B2CAE" w:rsidP="00DA49F4" w14:paraId="2DA48CA3" w14:textId="77777777">
      <w:pPr>
        <w:pStyle w:val="ListParagraph"/>
        <w:numPr>
          <w:ilvl w:val="0"/>
          <w:numId w:val="32"/>
        </w:numPr>
        <w:autoSpaceDE w:val="0"/>
        <w:autoSpaceDN w:val="0"/>
        <w:adjustRightInd w:val="0"/>
        <w:ind w:left="284" w:hanging="284"/>
        <w:jc w:val="left"/>
        <w:rPr>
          <w:rFonts w:eastAsiaTheme="minorEastAsia" w:cs="Arial"/>
        </w:rPr>
      </w:pPr>
      <w:r w:rsidRPr="003B2CAE">
        <w:rPr>
          <w:rFonts w:eastAsiaTheme="minorEastAsia" w:cs="Arial"/>
        </w:rPr>
        <w:t xml:space="preserve">freiwillige </w:t>
      </w:r>
      <w:r w:rsidRPr="003B2CAE" w:rsidR="009A58FA">
        <w:rPr>
          <w:rFonts w:eastAsiaTheme="minorEastAsia" w:cs="Arial"/>
        </w:rPr>
        <w:t>B</w:t>
      </w:r>
      <w:r w:rsidRPr="003B2CAE">
        <w:rPr>
          <w:rFonts w:eastAsiaTheme="minorEastAsia" w:cs="Arial"/>
        </w:rPr>
        <w:t>etriebsb</w:t>
      </w:r>
      <w:r w:rsidRPr="003B2CAE" w:rsidR="009A58FA">
        <w:rPr>
          <w:rFonts w:eastAsiaTheme="minorEastAsia" w:cs="Arial"/>
        </w:rPr>
        <w:t>egehungen auf Wunsch des Leistungserbringers</w:t>
      </w:r>
    </w:p>
    <w:p w:rsidR="00D92968" w:rsidRPr="003B2CAE" w:rsidP="00D92968" w14:paraId="1CB41AAA" w14:textId="77777777">
      <w:pPr>
        <w:autoSpaceDE w:val="0"/>
        <w:autoSpaceDN w:val="0"/>
        <w:adjustRightInd w:val="0"/>
        <w:rPr>
          <w:rFonts w:eastAsiaTheme="minorEastAsia" w:cs="Arial"/>
        </w:rPr>
      </w:pPr>
    </w:p>
    <w:p w:rsidR="0024728A" w:rsidRPr="003B2CAE" w:rsidP="0024728A" w14:paraId="446FB03E" w14:textId="77777777">
      <w:pPr>
        <w:autoSpaceDE w:val="0"/>
        <w:autoSpaceDN w:val="0"/>
        <w:adjustRightInd w:val="0"/>
        <w:rPr>
          <w:rFonts w:eastAsiaTheme="minorEastAsia" w:cs="Arial"/>
        </w:rPr>
      </w:pPr>
      <w:r w:rsidRPr="003B2CAE">
        <w:rPr>
          <w:rFonts w:eastAsiaTheme="minorEastAsia" w:cs="Arial"/>
        </w:rPr>
        <w:t>Verbindliche schriftliche Bestätigungen (mit Unterschrift des Leistungserbringers), dass die Anforderungen weiterhin erfüllt werden und sich keine Änderungen ergeben haben, die Einfluss auf die Gültigkeit des Zertifikates haben können, stellen keinen Nachweis der Erfüllung der räumlichen und sachlichen Anforderungen dar.</w:t>
      </w:r>
    </w:p>
    <w:p w:rsidR="0024728A" w:rsidRPr="003B2CAE" w:rsidP="00D92968" w14:paraId="0BC9151E" w14:textId="77777777">
      <w:pPr>
        <w:autoSpaceDE w:val="0"/>
        <w:autoSpaceDN w:val="0"/>
        <w:adjustRightInd w:val="0"/>
        <w:rPr>
          <w:rFonts w:eastAsiaTheme="minorEastAsia" w:cs="Arial"/>
        </w:rPr>
      </w:pPr>
    </w:p>
    <w:p w:rsidR="00D92968" w:rsidRPr="003B2CAE" w:rsidP="00D92968" w14:paraId="3C3BC42A" w14:textId="77777777">
      <w:pPr>
        <w:autoSpaceDE w:val="0"/>
        <w:autoSpaceDN w:val="0"/>
        <w:adjustRightInd w:val="0"/>
        <w:rPr>
          <w:rFonts w:eastAsiaTheme="minorEastAsia" w:cs="Arial"/>
        </w:rPr>
      </w:pPr>
      <w:r w:rsidRPr="003B2CAE">
        <w:rPr>
          <w:rFonts w:eastAsiaTheme="minorEastAsia" w:cs="Arial"/>
        </w:rPr>
        <w:t xml:space="preserve">Die Überwachungsmaßnahmen können einzeln erfolgen oder </w:t>
      </w:r>
      <w:r w:rsidRPr="003B2CAE" w:rsidR="007577AE">
        <w:rPr>
          <w:rFonts w:eastAsiaTheme="minorEastAsia" w:cs="Arial"/>
        </w:rPr>
        <w:t xml:space="preserve">möglichst mit weiteren von mdc durchgeführten Zertifizierungsverfahren </w:t>
      </w:r>
      <w:r w:rsidRPr="003B2CAE">
        <w:rPr>
          <w:rFonts w:eastAsiaTheme="minorEastAsia" w:cs="Arial"/>
        </w:rPr>
        <w:t>kombiniert werden.</w:t>
      </w:r>
    </w:p>
    <w:p w:rsidR="00D92968" w:rsidRPr="003B2CAE" w:rsidP="00D92968" w14:paraId="5BE155CC" w14:textId="77777777">
      <w:pPr>
        <w:autoSpaceDE w:val="0"/>
        <w:autoSpaceDN w:val="0"/>
        <w:adjustRightInd w:val="0"/>
        <w:rPr>
          <w:rFonts w:eastAsiaTheme="minorEastAsia" w:cs="Arial"/>
        </w:rPr>
      </w:pPr>
      <w:r w:rsidRPr="003B2CAE">
        <w:rPr>
          <w:rFonts w:eastAsiaTheme="minorEastAsia" w:cs="Arial"/>
        </w:rPr>
        <w:t>Die in den FAQ zur Akkreditierung von Präqualifizierungs</w:t>
      </w:r>
      <w:r w:rsidRPr="003B2CAE" w:rsidR="00DA49F4">
        <w:rPr>
          <w:rFonts w:eastAsiaTheme="minorEastAsia" w:cs="Arial"/>
        </w:rPr>
        <w:t>-</w:t>
      </w:r>
      <w:r w:rsidRPr="003B2CAE">
        <w:rPr>
          <w:rFonts w:eastAsiaTheme="minorEastAsia" w:cs="Arial"/>
        </w:rPr>
        <w:t>stellen (§ 126 SGB V) der DAkkS beschriebene Option, bei einer der beiden Überwachungen anstatt der Betriebsbegehung eine ausführliche</w:t>
      </w:r>
      <w:r w:rsidRPr="003B2CAE" w:rsidR="00DA49F4">
        <w:rPr>
          <w:rFonts w:eastAsiaTheme="minorEastAsia" w:cs="Arial"/>
        </w:rPr>
        <w:t xml:space="preserve"> Doku</w:t>
      </w:r>
      <w:r w:rsidRPr="003B2CAE">
        <w:rPr>
          <w:rFonts w:eastAsiaTheme="minorEastAsia" w:cs="Arial"/>
        </w:rPr>
        <w:t>mentenprüfung inklusive Fotoanalyse durchzuführen, wird nicht angewendet.</w:t>
      </w:r>
    </w:p>
    <w:p w:rsidR="00D92968" w:rsidRPr="003B2CAE" w:rsidP="00D92968" w14:paraId="6EA56B71" w14:textId="77777777">
      <w:pPr>
        <w:autoSpaceDE w:val="0"/>
        <w:autoSpaceDN w:val="0"/>
        <w:adjustRightInd w:val="0"/>
        <w:rPr>
          <w:rFonts w:eastAsiaTheme="minorEastAsia" w:cs="Arial"/>
        </w:rPr>
      </w:pPr>
    </w:p>
    <w:p w:rsidR="00D92968" w:rsidRPr="003B2CAE" w:rsidP="00D92968" w14:paraId="5B17C350" w14:textId="77777777">
      <w:pPr>
        <w:autoSpaceDE w:val="0"/>
        <w:autoSpaceDN w:val="0"/>
        <w:adjustRightInd w:val="0"/>
        <w:rPr>
          <w:rFonts w:eastAsiaTheme="minorEastAsia" w:cs="Arial"/>
        </w:rPr>
      </w:pPr>
      <w:r w:rsidRPr="003B2CAE">
        <w:rPr>
          <w:rFonts w:eastAsiaTheme="minorEastAsia" w:cs="Arial"/>
        </w:rPr>
        <w:t>Anlassbezogene Überwachungsmaßnahmen werden beauftragt, wenn die Präqualifizierungsstelle externe Hinweise</w:t>
      </w:r>
      <w:r w:rsidRPr="003B2CAE">
        <w:rPr>
          <w:rFonts w:cs="Arial"/>
        </w:rPr>
        <w:t xml:space="preserve"> </w:t>
      </w:r>
      <w:r w:rsidRPr="003B2CAE">
        <w:rPr>
          <w:rFonts w:eastAsiaTheme="minorEastAsia" w:cs="Arial"/>
        </w:rPr>
        <w:t>zu Auffälligkeiten, z.B. von Krankenkassen, dem GKV-Spitzenverband oder anderen Dritten, erhält. Die Entscheidung über die zu ergreifenden Maßnahmen ist abhängig von der bekannt gewordenen Auffälligkeit und erfolgt auf Grundlage einer vorherigen Einschätzung.</w:t>
      </w:r>
    </w:p>
    <w:p w:rsidR="007934FB" w:rsidRPr="003B2CAE" w:rsidP="00720AF4" w14:paraId="39ACB83E" w14:textId="77777777">
      <w:pPr>
        <w:rPr>
          <w:lang w:eastAsia="de-DE"/>
        </w:rPr>
      </w:pPr>
      <w:bookmarkStart w:id="236" w:name="_Toc256000369"/>
      <w:bookmarkStart w:id="237" w:name="_Toc256000515"/>
      <w:bookmarkStart w:id="238" w:name="_Toc256000492"/>
      <w:bookmarkStart w:id="239" w:name="_Toc256000469"/>
      <w:bookmarkStart w:id="240" w:name="_Toc256000446"/>
      <w:bookmarkStart w:id="241" w:name="_Toc256000423"/>
      <w:bookmarkStart w:id="242" w:name="_Toc256000400"/>
      <w:bookmarkStart w:id="243" w:name="_Toc256000377"/>
      <w:bookmarkStart w:id="244" w:name="_Toc256000354"/>
      <w:bookmarkStart w:id="245" w:name="_Toc256000331"/>
      <w:bookmarkStart w:id="246" w:name="_Toc256000308"/>
      <w:bookmarkStart w:id="247" w:name="_Toc256000285"/>
      <w:bookmarkStart w:id="248" w:name="_Toc256000262"/>
      <w:bookmarkStart w:id="249" w:name="_Toc256000239"/>
      <w:bookmarkStart w:id="250" w:name="_Toc256000216"/>
      <w:bookmarkStart w:id="251" w:name="_Toc256000201"/>
      <w:bookmarkStart w:id="252" w:name="_Toc256000178"/>
      <w:bookmarkStart w:id="253" w:name="_Toc256000133"/>
      <w:bookmarkStart w:id="254" w:name="_Toc256000167"/>
      <w:bookmarkStart w:id="255" w:name="_Toc256000123"/>
      <w:bookmarkStart w:id="256" w:name="_Toc256000096"/>
      <w:bookmarkStart w:id="257" w:name="_Toc256000041"/>
      <w:bookmarkStart w:id="258" w:name="_Toc256000021"/>
      <w:bookmarkStart w:id="259" w:name="_Toc256000077"/>
      <w:bookmarkStart w:id="260" w:name="_Toc499627244"/>
      <w:bookmarkStart w:id="261" w:name="_Toc502739297"/>
      <w:bookmarkStart w:id="262" w:name="_Toc502751893"/>
      <w:bookmarkStart w:id="263" w:name="_Toc502836644"/>
      <w:bookmarkStart w:id="264" w:name="_Toc504998955"/>
      <w:bookmarkStart w:id="265" w:name="_Toc505003444"/>
      <w:bookmarkStart w:id="266" w:name="_Toc505172756"/>
      <w:bookmarkStart w:id="267" w:name="_Toc524591884"/>
      <w:bookmarkStart w:id="268" w:name="_Toc492642423"/>
    </w:p>
    <w:p w:rsidR="00720AF4" w:rsidRPr="003B2CAE" w:rsidP="00720AF4" w14:paraId="3224F6BE" w14:textId="77777777">
      <w:pPr>
        <w:rPr>
          <w:lang w:eastAsia="de-DE"/>
        </w:rPr>
      </w:pPr>
    </w:p>
    <w:p w:rsidR="00D92968" w:rsidRPr="003B2CAE" w:rsidP="00D9425D" w14:paraId="4F1AB728" w14:textId="77777777">
      <w:pPr>
        <w:pStyle w:val="Heading1"/>
      </w:pPr>
      <w:r w:rsidRPr="003B2CAE">
        <w:t>Hinweispflichten des Leistungserbringers</w:t>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p>
    <w:p w:rsidR="00D92968" w:rsidRPr="003B2CAE" w:rsidP="00D92968" w14:paraId="4EF15518" w14:textId="77777777">
      <w:pPr>
        <w:rPr>
          <w:rFonts w:cs="Arial"/>
        </w:rPr>
      </w:pPr>
      <w:r w:rsidRPr="003B2CAE">
        <w:rPr>
          <w:rFonts w:cs="Arial"/>
        </w:rPr>
        <w:t xml:space="preserve">Maßgebliche Änderungen in den tatsächlichen oder rechtlichen Verhältnissen, die bei der Erteilung einer Bestätigung vorgelegen haben, sind der Präqualifizierungsstelle durch den </w:t>
      </w:r>
      <w:r w:rsidRPr="003B2CAE">
        <w:rPr>
          <w:rFonts w:cs="Arial"/>
        </w:rPr>
        <w:t>präqualifizierten Kunden unverzüglich anzuzeigen. Der Kunde hat den Nachweis zu erbringen, dass die Anforderungen nach § 126 Abs. 1 Satz 2 SGB V weiterhin erfüllt werden. Neue Nachweise über die Erfüllung der Anforderungen nach § 126 Absatz 1 Satz 2 SGB V sind nur hinsichtlich der geänderten Verhältnisse erforderlich, sofern das Zertifikat über die Ausgangspräqualifizierung noch gültig ist.</w:t>
      </w:r>
    </w:p>
    <w:p w:rsidR="00D92968" w:rsidRPr="003B2CAE" w:rsidP="00D92968" w14:paraId="1B5A5236" w14:textId="77777777">
      <w:pPr>
        <w:rPr>
          <w:rFonts w:cs="Arial"/>
        </w:rPr>
      </w:pPr>
    </w:p>
    <w:p w:rsidR="00D92968" w:rsidRPr="003B2CAE" w:rsidP="00D92968" w14:paraId="7310A8F2" w14:textId="77777777">
      <w:pPr>
        <w:rPr>
          <w:rFonts w:cs="Arial"/>
        </w:rPr>
      </w:pPr>
      <w:r w:rsidRPr="003B2CAE">
        <w:rPr>
          <w:rFonts w:cs="Arial"/>
        </w:rPr>
        <w:t>Maßgebliche Änderungen liegen vor</w:t>
      </w:r>
      <w:r w:rsidRPr="003B2CAE" w:rsidR="007577AE">
        <w:rPr>
          <w:rFonts w:cs="Arial"/>
        </w:rPr>
        <w:t>, bei</w:t>
      </w:r>
      <w:r w:rsidRPr="003B2CAE">
        <w:rPr>
          <w:rFonts w:cs="Arial"/>
        </w:rPr>
        <w:t>:</w:t>
      </w:r>
    </w:p>
    <w:p w:rsidR="00D92968" w:rsidRPr="003B2CAE" w:rsidP="00DA49F4" w14:paraId="612E491E" w14:textId="77777777">
      <w:pPr>
        <w:pStyle w:val="ListParagraph"/>
        <w:numPr>
          <w:ilvl w:val="0"/>
          <w:numId w:val="27"/>
        </w:numPr>
        <w:ind w:left="284" w:hanging="284"/>
        <w:jc w:val="left"/>
        <w:rPr>
          <w:rFonts w:cs="Arial"/>
        </w:rPr>
      </w:pPr>
      <w:r w:rsidRPr="003B2CAE">
        <w:rPr>
          <w:rFonts w:cs="Arial"/>
        </w:rPr>
        <w:t>Wechsel des Inhabers eines Einzelunternehmens und/oder</w:t>
      </w:r>
    </w:p>
    <w:p w:rsidR="00D92968" w:rsidRPr="003B2CAE" w:rsidP="00DA49F4" w14:paraId="47B7F1D1" w14:textId="77777777">
      <w:pPr>
        <w:pStyle w:val="ListParagraph"/>
        <w:numPr>
          <w:ilvl w:val="0"/>
          <w:numId w:val="27"/>
        </w:numPr>
        <w:ind w:left="284" w:hanging="284"/>
        <w:jc w:val="left"/>
        <w:rPr>
          <w:rFonts w:cs="Arial"/>
        </w:rPr>
      </w:pPr>
      <w:r w:rsidRPr="003B2CAE">
        <w:rPr>
          <w:rFonts w:cs="Arial"/>
        </w:rPr>
        <w:t>Rechtsformwechsel und/oder</w:t>
      </w:r>
    </w:p>
    <w:p w:rsidR="00D92968" w:rsidRPr="003B2CAE" w:rsidP="00DA49F4" w14:paraId="76C4CAAB" w14:textId="77777777">
      <w:pPr>
        <w:pStyle w:val="ListParagraph"/>
        <w:numPr>
          <w:ilvl w:val="0"/>
          <w:numId w:val="27"/>
        </w:numPr>
        <w:ind w:left="284" w:hanging="284"/>
        <w:jc w:val="left"/>
        <w:rPr>
          <w:rFonts w:cs="Arial"/>
        </w:rPr>
      </w:pPr>
      <w:r w:rsidRPr="003B2CAE">
        <w:rPr>
          <w:rFonts w:cs="Arial"/>
        </w:rPr>
        <w:t>Umfirmierung und/oder</w:t>
      </w:r>
    </w:p>
    <w:p w:rsidR="00D92968" w:rsidRPr="003B2CAE" w:rsidP="00DA49F4" w14:paraId="76A009F7" w14:textId="77777777">
      <w:pPr>
        <w:pStyle w:val="ListParagraph"/>
        <w:numPr>
          <w:ilvl w:val="0"/>
          <w:numId w:val="27"/>
        </w:numPr>
        <w:ind w:left="284" w:hanging="284"/>
        <w:jc w:val="left"/>
        <w:rPr>
          <w:rFonts w:cs="Arial"/>
        </w:rPr>
      </w:pPr>
      <w:r w:rsidRPr="003B2CAE">
        <w:rPr>
          <w:rFonts w:cs="Arial"/>
        </w:rPr>
        <w:t>Wechsel der fachlichen Leitung bzw. der für die Leistungserbringung verantwortlichen Person und/oder</w:t>
      </w:r>
    </w:p>
    <w:p w:rsidR="00D92968" w:rsidRPr="003B2CAE" w:rsidP="00DA49F4" w14:paraId="74AB2EB4" w14:textId="77777777">
      <w:pPr>
        <w:pStyle w:val="ListParagraph"/>
        <w:numPr>
          <w:ilvl w:val="0"/>
          <w:numId w:val="27"/>
        </w:numPr>
        <w:ind w:left="284" w:hanging="284"/>
        <w:jc w:val="left"/>
        <w:rPr>
          <w:rFonts w:cs="Arial"/>
        </w:rPr>
      </w:pPr>
      <w:r w:rsidRPr="003B2CAE">
        <w:rPr>
          <w:rFonts w:cs="Arial"/>
        </w:rPr>
        <w:t>Standortwechsel des Unternehmens oder von Teilen des Unternehmens, soweit dort die Hilfsmittelleistung erbracht wird und/oder</w:t>
      </w:r>
    </w:p>
    <w:p w:rsidR="00D92968" w:rsidRPr="003B2CAE" w:rsidP="00DA49F4" w14:paraId="662BB7D5" w14:textId="77777777">
      <w:pPr>
        <w:pStyle w:val="ListParagraph"/>
        <w:numPr>
          <w:ilvl w:val="0"/>
          <w:numId w:val="27"/>
        </w:numPr>
        <w:ind w:left="284" w:hanging="284"/>
        <w:jc w:val="left"/>
        <w:rPr>
          <w:rFonts w:cs="Arial"/>
        </w:rPr>
      </w:pPr>
      <w:r w:rsidRPr="003B2CAE">
        <w:rPr>
          <w:rFonts w:cs="Arial"/>
        </w:rPr>
        <w:t>maßgeblichen räumlichen Änderungen, die die Präqualifizierungskriterien gemäß § 126 Abs. 1 Satz 2 SGB V berühren</w:t>
      </w:r>
    </w:p>
    <w:p w:rsidR="00D92968" w:rsidRPr="003B2CAE" w:rsidP="00DA49F4" w14:paraId="36385DBE" w14:textId="77777777">
      <w:pPr>
        <w:pStyle w:val="ListParagraph"/>
        <w:numPr>
          <w:ilvl w:val="0"/>
          <w:numId w:val="27"/>
        </w:numPr>
        <w:ind w:left="284" w:hanging="284"/>
        <w:jc w:val="left"/>
        <w:rPr>
          <w:rFonts w:cs="Arial"/>
        </w:rPr>
      </w:pPr>
      <w:r w:rsidRPr="003B2CAE">
        <w:rPr>
          <w:rFonts w:cs="Arial"/>
        </w:rPr>
        <w:t>Erweiterung des Hilfsmittelspektrums, soweit die Ausgangspräqualifizierung dieses nicht umfasst</w:t>
      </w:r>
    </w:p>
    <w:p w:rsidR="00D92968" w:rsidRPr="003B2CAE" w:rsidP="00DA49F4" w14:paraId="2B710310" w14:textId="77777777">
      <w:pPr>
        <w:pStyle w:val="ListParagraph"/>
        <w:numPr>
          <w:ilvl w:val="0"/>
          <w:numId w:val="27"/>
        </w:numPr>
        <w:ind w:left="284" w:hanging="284"/>
        <w:jc w:val="left"/>
        <w:rPr>
          <w:rFonts w:cs="Arial"/>
        </w:rPr>
      </w:pPr>
      <w:r w:rsidRPr="003B2CAE">
        <w:rPr>
          <w:rFonts w:cs="Arial"/>
        </w:rPr>
        <w:t>Auflösung des Unternehmens oder bei Eröffnung des Insolvenzverfahrens über das Firmenvermögen bzw. eines vergleichbaren Verfahrens oder wenn sich das Unternehmen in Liquidation befindet.</w:t>
      </w:r>
    </w:p>
    <w:p w:rsidR="00D92968" w:rsidRPr="003B2CAE" w:rsidP="00D92968" w14:paraId="298F49C4" w14:textId="77777777">
      <w:pPr>
        <w:rPr>
          <w:rFonts w:cs="Arial"/>
        </w:rPr>
      </w:pPr>
    </w:p>
    <w:p w:rsidR="00D92968" w:rsidRPr="003B2CAE" w:rsidP="00D92968" w14:paraId="790DAC95" w14:textId="77777777">
      <w:pPr>
        <w:rPr>
          <w:rFonts w:cs="Arial"/>
        </w:rPr>
      </w:pPr>
      <w:r w:rsidRPr="003B2CAE">
        <w:rPr>
          <w:rFonts w:cs="Arial"/>
        </w:rPr>
        <w:t>Die Aufzählung der Änderungen ist nicht abschließend.</w:t>
      </w:r>
    </w:p>
    <w:p w:rsidR="00D92968" w:rsidRPr="003B2CAE" w:rsidP="00D92968" w14:paraId="1CA2BBCE" w14:textId="77777777">
      <w:pPr>
        <w:rPr>
          <w:rFonts w:eastAsiaTheme="minorEastAsia" w:cs="Arial"/>
        </w:rPr>
      </w:pPr>
    </w:p>
    <w:p w:rsidR="00D92968" w:rsidRPr="003B2CAE" w:rsidP="00D92968" w14:paraId="2A0B8210" w14:textId="77777777">
      <w:pPr>
        <w:rPr>
          <w:rFonts w:cs="Arial"/>
        </w:rPr>
      </w:pPr>
      <w:r w:rsidRPr="003B2CAE">
        <w:rPr>
          <w:rFonts w:cs="Arial"/>
        </w:rPr>
        <w:t xml:space="preserve">Die Präqualifizierungsstelle ist bei geeigneten Hinweisen über solche Änderungen verpflichtet, den Sachverhalt innerhalb von </w:t>
      </w:r>
      <w:r w:rsidRPr="003B2CAE" w:rsidR="00720AF4">
        <w:rPr>
          <w:rFonts w:cs="Arial"/>
        </w:rPr>
        <w:t xml:space="preserve">vier </w:t>
      </w:r>
      <w:r w:rsidRPr="003B2CAE">
        <w:rPr>
          <w:rFonts w:cs="Arial"/>
        </w:rPr>
        <w:t>Wochen zu ermitteln und geeignete Maßnahmen zu ergreifen.</w:t>
      </w:r>
    </w:p>
    <w:p w:rsidR="00D92968" w:rsidRPr="003B2CAE" w:rsidP="00D92968" w14:paraId="16896A72" w14:textId="77777777">
      <w:pPr>
        <w:rPr>
          <w:rFonts w:cs="Arial"/>
        </w:rPr>
      </w:pPr>
    </w:p>
    <w:p w:rsidR="007934FB" w:rsidRPr="003B2CAE" w:rsidP="00D92968" w14:paraId="30C54798" w14:textId="77777777">
      <w:pPr>
        <w:rPr>
          <w:rFonts w:cs="Arial"/>
        </w:rPr>
      </w:pPr>
    </w:p>
    <w:p w:rsidR="00D92968" w:rsidRPr="003B2CAE" w:rsidP="00D9425D" w14:paraId="1B586431" w14:textId="77777777">
      <w:pPr>
        <w:pStyle w:val="Heading1"/>
      </w:pPr>
      <w:bookmarkStart w:id="269" w:name="_Toc256000392"/>
      <w:bookmarkStart w:id="270" w:name="_Toc256000516"/>
      <w:bookmarkStart w:id="271" w:name="_Toc256000493"/>
      <w:bookmarkStart w:id="272" w:name="_Toc256000470"/>
      <w:bookmarkStart w:id="273" w:name="_Toc256000447"/>
      <w:bookmarkStart w:id="274" w:name="_Toc256000424"/>
      <w:bookmarkStart w:id="275" w:name="_Toc256000401"/>
      <w:bookmarkStart w:id="276" w:name="_Toc256000378"/>
      <w:bookmarkStart w:id="277" w:name="_Toc256000355"/>
      <w:bookmarkStart w:id="278" w:name="_Toc256000332"/>
      <w:bookmarkStart w:id="279" w:name="_Toc256000309"/>
      <w:bookmarkStart w:id="280" w:name="_Toc256000286"/>
      <w:bookmarkStart w:id="281" w:name="_Toc256000263"/>
      <w:bookmarkStart w:id="282" w:name="_Toc256000240"/>
      <w:bookmarkStart w:id="283" w:name="_Toc256000217"/>
      <w:bookmarkStart w:id="284" w:name="_Toc256000202"/>
      <w:bookmarkStart w:id="285" w:name="_Toc256000179"/>
      <w:bookmarkStart w:id="286" w:name="_Toc256000134"/>
      <w:bookmarkStart w:id="287" w:name="_Toc256000168"/>
      <w:bookmarkStart w:id="288" w:name="_Toc256000124"/>
      <w:bookmarkStart w:id="289" w:name="_Toc256000097"/>
      <w:bookmarkStart w:id="290" w:name="_Toc256000042"/>
      <w:bookmarkStart w:id="291" w:name="_Toc256000022"/>
      <w:bookmarkStart w:id="292" w:name="_Toc256000078"/>
      <w:bookmarkStart w:id="293" w:name="_Toc499627245"/>
      <w:bookmarkStart w:id="294" w:name="_Toc502739298"/>
      <w:bookmarkStart w:id="295" w:name="_Toc502751894"/>
      <w:bookmarkStart w:id="296" w:name="_Toc502836645"/>
      <w:bookmarkStart w:id="297" w:name="_Toc504998956"/>
      <w:bookmarkStart w:id="298" w:name="_Toc505003445"/>
      <w:bookmarkStart w:id="299" w:name="_Toc505172757"/>
      <w:bookmarkStart w:id="300" w:name="_Toc524591885"/>
      <w:r w:rsidRPr="003B2CAE">
        <w:t xml:space="preserve">Änderungen, die sich auf die </w:t>
      </w:r>
      <w:r w:rsidRPr="003B2CAE" w:rsidR="00BB4C1C">
        <w:t>Präqualifizie</w:t>
      </w:r>
      <w:r w:rsidRPr="003B2CAE">
        <w:t>rung auswirken</w:t>
      </w:r>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r w:rsidRPr="003B2CAE">
        <w:t xml:space="preserve"> </w:t>
      </w:r>
    </w:p>
    <w:p w:rsidR="00D92968" w:rsidRPr="003B2CAE" w:rsidP="00D92968" w14:paraId="29087AB4" w14:textId="77777777">
      <w:pPr>
        <w:rPr>
          <w:rFonts w:cs="Arial"/>
        </w:rPr>
      </w:pPr>
      <w:r w:rsidRPr="003B2CAE">
        <w:rPr>
          <w:rFonts w:cs="Arial"/>
        </w:rPr>
        <w:t xml:space="preserve">Bei Änderung oder Erweiterung der Anforderungen nach § 126 Abs. 1 Satz 2 SGB V einschließlich weiterer Vorgaben des GKV-Spitzenverbandes mit hoher Relevanz werden die betreffenden präqualifizierten Kunden informiert. Ggf. werden Unterlagen oder Nachweise von der </w:t>
      </w:r>
      <w:r w:rsidRPr="003B2CAE">
        <w:rPr>
          <w:rFonts w:eastAsiaTheme="minorEastAsia" w:cs="Arial"/>
        </w:rPr>
        <w:t>Präqualifizierungsstelle</w:t>
      </w:r>
      <w:r w:rsidRPr="003B2CAE">
        <w:rPr>
          <w:rFonts w:cs="Arial"/>
        </w:rPr>
        <w:t xml:space="preserve"> gefordert. In diesen Fällen ist dafür eine Evaluierung, Bewertung und Entscheidung erforderlich. Unterbleibt die Vorlage dieser Nachweise, ist zu prüfen, ob die Präqualifizierung einzuschränken, auszusetzen oder zurückzuziehen ist.</w:t>
      </w:r>
      <w:bookmarkStart w:id="301" w:name="_Toc492642424"/>
    </w:p>
    <w:p w:rsidR="00D92968" w:rsidRPr="003B2CAE" w:rsidP="00D92968" w14:paraId="45580922" w14:textId="77777777">
      <w:pPr>
        <w:rPr>
          <w:rFonts w:cs="Arial"/>
          <w:szCs w:val="16"/>
        </w:rPr>
      </w:pPr>
    </w:p>
    <w:p w:rsidR="007934FB" w:rsidRPr="003B2CAE" w:rsidP="00D92968" w14:paraId="5D632A9A" w14:textId="77777777">
      <w:pPr>
        <w:rPr>
          <w:rFonts w:cs="Arial"/>
          <w:szCs w:val="16"/>
        </w:rPr>
      </w:pPr>
    </w:p>
    <w:p w:rsidR="00D92968" w:rsidRPr="003B2CAE" w:rsidP="00D9425D" w14:paraId="40663A33" w14:textId="77777777">
      <w:pPr>
        <w:pStyle w:val="Heading1"/>
      </w:pPr>
      <w:bookmarkStart w:id="302" w:name="_Toc256000415"/>
      <w:bookmarkStart w:id="303" w:name="_Toc256000517"/>
      <w:bookmarkStart w:id="304" w:name="_Toc256000494"/>
      <w:bookmarkStart w:id="305" w:name="_Toc256000471"/>
      <w:bookmarkStart w:id="306" w:name="_Toc256000448"/>
      <w:bookmarkStart w:id="307" w:name="_Toc256000425"/>
      <w:bookmarkStart w:id="308" w:name="_Toc256000402"/>
      <w:bookmarkStart w:id="309" w:name="_Toc256000379"/>
      <w:bookmarkStart w:id="310" w:name="_Toc256000356"/>
      <w:bookmarkStart w:id="311" w:name="_Toc256000333"/>
      <w:bookmarkStart w:id="312" w:name="_Toc256000310"/>
      <w:bookmarkStart w:id="313" w:name="_Toc256000287"/>
      <w:bookmarkStart w:id="314" w:name="_Toc256000264"/>
      <w:bookmarkStart w:id="315" w:name="_Toc256000241"/>
      <w:bookmarkStart w:id="316" w:name="_Toc256000218"/>
      <w:bookmarkStart w:id="317" w:name="_Toc256000203"/>
      <w:bookmarkStart w:id="318" w:name="_Toc256000180"/>
      <w:bookmarkStart w:id="319" w:name="_Toc256000135"/>
      <w:bookmarkStart w:id="320" w:name="_Toc256000169"/>
      <w:bookmarkStart w:id="321" w:name="_Toc256000125"/>
      <w:bookmarkStart w:id="322" w:name="_Toc256000098"/>
      <w:bookmarkStart w:id="323" w:name="_Toc256000044"/>
      <w:bookmarkStart w:id="324" w:name="_Toc256000024"/>
      <w:bookmarkStart w:id="325" w:name="_Toc256000079"/>
      <w:bookmarkStart w:id="326" w:name="_Toc499627246"/>
      <w:bookmarkStart w:id="327" w:name="_Toc502739299"/>
      <w:bookmarkStart w:id="328" w:name="_Toc502751895"/>
      <w:bookmarkStart w:id="329" w:name="_Toc502836646"/>
      <w:bookmarkStart w:id="330" w:name="_Toc504998957"/>
      <w:bookmarkStart w:id="331" w:name="_Toc505003446"/>
      <w:bookmarkStart w:id="332" w:name="_Toc505172758"/>
      <w:bookmarkStart w:id="333" w:name="_Toc524591886"/>
      <w:r w:rsidRPr="003B2CAE">
        <w:t>Beendigung, Einschränkung, Aussetzung oder Zurückziehung</w:t>
      </w:r>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r w:rsidRPr="003B2CAE" w:rsidR="00D64B05">
        <w:t xml:space="preserve"> der </w:t>
      </w:r>
      <w:r w:rsidRPr="003B2CAE" w:rsidR="00BB4C1C">
        <w:t>Präqualifizie</w:t>
      </w:r>
      <w:r w:rsidRPr="003B2CAE" w:rsidR="00D64B05">
        <w:t>rung</w:t>
      </w:r>
    </w:p>
    <w:p w:rsidR="00D92968" w:rsidRPr="003B2CAE" w:rsidP="00D92968" w14:paraId="2CD391B7" w14:textId="77777777">
      <w:pPr>
        <w:autoSpaceDE w:val="0"/>
        <w:autoSpaceDN w:val="0"/>
        <w:adjustRightInd w:val="0"/>
        <w:rPr>
          <w:rFonts w:eastAsiaTheme="minorEastAsia" w:cs="Arial"/>
        </w:rPr>
      </w:pPr>
      <w:r w:rsidRPr="003B2CAE">
        <w:rPr>
          <w:rFonts w:eastAsiaTheme="minorEastAsia" w:cs="Arial"/>
        </w:rPr>
        <w:t>Stellt die Präqualifizierungsstelle fest, dass ein Kunde die Voraussetzungen nach § 126 Abs. 1 Satz 2 SGB V nicht oder nicht mehr erfüllt, sind erteilte Zertifikate einzuschränken, auszusetzen oder zurückzuziehen, soweit der Kunde nicht innerhalb einer angemessenen Frist die Übereinstimmung herstellt.</w:t>
      </w:r>
    </w:p>
    <w:p w:rsidR="00D92968" w:rsidRPr="003B2CAE" w:rsidP="00D92968" w14:paraId="4B89F57E" w14:textId="77777777">
      <w:pPr>
        <w:autoSpaceDE w:val="0"/>
        <w:autoSpaceDN w:val="0"/>
        <w:adjustRightInd w:val="0"/>
        <w:rPr>
          <w:rFonts w:eastAsiaTheme="minorEastAsia" w:cs="Arial"/>
        </w:rPr>
      </w:pPr>
    </w:p>
    <w:p w:rsidR="00D92968" w:rsidRPr="003B2CAE" w:rsidP="00D92968" w14:paraId="069BBEB7" w14:textId="77777777">
      <w:pPr>
        <w:spacing w:after="120"/>
        <w:rPr>
          <w:rFonts w:cs="Arial"/>
          <w:bCs/>
        </w:rPr>
      </w:pPr>
      <w:r w:rsidRPr="003B2CAE">
        <w:rPr>
          <w:rFonts w:cs="Arial"/>
        </w:rPr>
        <w:t>Bei festgestellten Abweichung</w:t>
      </w:r>
      <w:r w:rsidRPr="003B2CAE" w:rsidR="001608E2">
        <w:rPr>
          <w:rFonts w:cs="Arial"/>
        </w:rPr>
        <w:t>en</w:t>
      </w:r>
      <w:r w:rsidRPr="003B2CAE">
        <w:rPr>
          <w:rFonts w:cs="Arial"/>
        </w:rPr>
        <w:t xml:space="preserve"> oder </w:t>
      </w:r>
      <w:r w:rsidRPr="003B2CAE" w:rsidR="00D64B05">
        <w:rPr>
          <w:rFonts w:cs="Arial"/>
        </w:rPr>
        <w:t>N</w:t>
      </w:r>
      <w:r w:rsidRPr="003B2CAE">
        <w:rPr>
          <w:rFonts w:cs="Arial"/>
        </w:rPr>
        <w:t>icht</w:t>
      </w:r>
      <w:r w:rsidRPr="003B2CAE" w:rsidR="00D64B05">
        <w:rPr>
          <w:rFonts w:cs="Arial"/>
        </w:rPr>
        <w:t>k</w:t>
      </w:r>
      <w:r w:rsidRPr="003B2CAE">
        <w:rPr>
          <w:rFonts w:cs="Arial"/>
        </w:rPr>
        <w:t xml:space="preserve">onformitäten </w:t>
      </w:r>
      <w:r w:rsidRPr="003B2CAE" w:rsidR="00D64B05">
        <w:rPr>
          <w:rFonts w:cs="Arial"/>
        </w:rPr>
        <w:t>wird der</w:t>
      </w:r>
      <w:r w:rsidRPr="003B2CAE">
        <w:rPr>
          <w:rFonts w:cs="Arial"/>
        </w:rPr>
        <w:t xml:space="preserve"> Kunde schriftlich auf</w:t>
      </w:r>
      <w:r w:rsidRPr="003B2CAE" w:rsidR="00D64B05">
        <w:rPr>
          <w:rFonts w:cs="Arial"/>
        </w:rPr>
        <w:t>gefordert</w:t>
      </w:r>
      <w:r w:rsidRPr="003B2CAE">
        <w:rPr>
          <w:rFonts w:cs="Arial"/>
        </w:rPr>
        <w:t xml:space="preserve"> (in der Regel per E-Mail), die Übereinstimmung mit den Voraussetzungen herzustellen. Dabei sind die Gründe anzugeben, die zu einer Einschränkung, Aussetzung oder Rücknahme der erteilten </w:t>
      </w:r>
      <w:r w:rsidRPr="003B2CAE" w:rsidR="00BB4C1C">
        <w:rPr>
          <w:rFonts w:cs="Arial"/>
        </w:rPr>
        <w:t>Präqualifizie</w:t>
      </w:r>
      <w:r w:rsidRPr="003B2CAE" w:rsidR="00D64B05">
        <w:rPr>
          <w:rFonts w:cs="Arial"/>
        </w:rPr>
        <w:t xml:space="preserve">rung </w:t>
      </w:r>
      <w:r w:rsidRPr="003B2CAE">
        <w:rPr>
          <w:rFonts w:cs="Arial"/>
        </w:rPr>
        <w:t>führen würden.</w:t>
      </w:r>
    </w:p>
    <w:p w:rsidR="00D92968" w:rsidRPr="003B2CAE" w:rsidP="00D92968" w14:paraId="1FF02117" w14:textId="77777777">
      <w:pPr>
        <w:spacing w:after="120"/>
        <w:rPr>
          <w:rFonts w:cs="Arial"/>
          <w:bCs/>
        </w:rPr>
      </w:pPr>
      <w:r w:rsidRPr="003B2CAE">
        <w:rPr>
          <w:rFonts w:cs="Arial"/>
        </w:rPr>
        <w:t>Die gesetzte Frist kann auf Wunsch des Kunden einmalig verlängert werden. Nach Verstreichen dieser Frist ist das Zertifikat einzuschränken, auszusetzen oder zurückzuziehen.</w:t>
      </w:r>
    </w:p>
    <w:p w:rsidR="00D92968" w:rsidRPr="003B2CAE" w:rsidP="00D92968" w14:paraId="5A322215" w14:textId="77777777">
      <w:pPr>
        <w:spacing w:after="120"/>
        <w:rPr>
          <w:rStyle w:val="Strong"/>
          <w:rFonts w:ascii="Arial" w:hAnsi="Arial" w:cs="Arial"/>
          <w:bCs/>
        </w:rPr>
      </w:pPr>
      <w:r w:rsidRPr="003B2CAE">
        <w:rPr>
          <w:rFonts w:cs="Arial"/>
        </w:rPr>
        <w:t>Sind im Rahmen des Verfahrens zur Nachbesserung besondere Maßnahmen erford</w:t>
      </w:r>
      <w:r w:rsidRPr="003B2CAE" w:rsidR="00D64B05">
        <w:rPr>
          <w:rFonts w:cs="Arial"/>
        </w:rPr>
        <w:t>erlich (z.</w:t>
      </w:r>
      <w:r w:rsidRPr="003B2CAE">
        <w:rPr>
          <w:rFonts w:cs="Arial"/>
        </w:rPr>
        <w:t>B. erneute Betriebs</w:t>
      </w:r>
      <w:r w:rsidRPr="003B2CAE" w:rsidR="00D64B05">
        <w:rPr>
          <w:rFonts w:cs="Arial"/>
        </w:rPr>
        <w:t>-</w:t>
      </w:r>
      <w:r w:rsidRPr="003B2CAE">
        <w:rPr>
          <w:rFonts w:cs="Arial"/>
        </w:rPr>
        <w:t>begehungen), wirkt die Präqualifizierungsstelle auf eine zügige Durchführung hin.</w:t>
      </w:r>
    </w:p>
    <w:p w:rsidR="00D92968" w:rsidRPr="003B2CAE" w:rsidP="00DA49F4" w14:paraId="50525858" w14:textId="77777777">
      <w:pPr>
        <w:rPr>
          <w:rStyle w:val="Strong"/>
          <w:rFonts w:ascii="Arial" w:hAnsi="Arial" w:cs="Arial"/>
        </w:rPr>
      </w:pPr>
      <w:r w:rsidRPr="003B2CAE">
        <w:rPr>
          <w:rStyle w:val="Strong"/>
          <w:rFonts w:ascii="Arial" w:hAnsi="Arial" w:cs="Arial"/>
          <w:bCs/>
        </w:rPr>
        <w:t xml:space="preserve">Die Mitteilung </w:t>
      </w:r>
      <w:r w:rsidRPr="003B2CAE" w:rsidR="001608E2">
        <w:rPr>
          <w:rStyle w:val="Strong"/>
          <w:rFonts w:ascii="Arial" w:hAnsi="Arial" w:cs="Arial"/>
          <w:bCs/>
        </w:rPr>
        <w:t xml:space="preserve">an den Kunden </w:t>
      </w:r>
      <w:r w:rsidRPr="003B2CAE">
        <w:rPr>
          <w:rStyle w:val="Strong"/>
          <w:rFonts w:ascii="Arial" w:hAnsi="Arial" w:cs="Arial"/>
          <w:bCs/>
        </w:rPr>
        <w:t xml:space="preserve">über die Beendigung, Einschränkung, Aussetzung oder Zurückziehung </w:t>
      </w:r>
      <w:r w:rsidRPr="003B2CAE" w:rsidR="00D64B05">
        <w:rPr>
          <w:rStyle w:val="Strong"/>
          <w:rFonts w:ascii="Arial" w:hAnsi="Arial" w:cs="Arial"/>
          <w:bCs/>
        </w:rPr>
        <w:t xml:space="preserve">erfolgt </w:t>
      </w:r>
      <w:r w:rsidRPr="003B2CAE">
        <w:rPr>
          <w:rStyle w:val="Strong"/>
          <w:rFonts w:ascii="Arial" w:hAnsi="Arial" w:cs="Arial"/>
          <w:bCs/>
        </w:rPr>
        <w:t>schriftlich</w:t>
      </w:r>
      <w:r w:rsidRPr="003B2CAE" w:rsidR="00D42427">
        <w:rPr>
          <w:rStyle w:val="Strong"/>
          <w:rFonts w:ascii="Arial" w:hAnsi="Arial" w:cs="Arial"/>
          <w:bCs/>
        </w:rPr>
        <w:t xml:space="preserve"> mit Nennung</w:t>
      </w:r>
      <w:r w:rsidRPr="003B2CAE" w:rsidR="001608E2">
        <w:rPr>
          <w:rStyle w:val="Strong"/>
          <w:rFonts w:ascii="Arial" w:hAnsi="Arial" w:cs="Arial"/>
          <w:bCs/>
        </w:rPr>
        <w:t xml:space="preserve"> der Gründe.</w:t>
      </w:r>
    </w:p>
    <w:p w:rsidR="00D92968" w:rsidP="00D92968" w14:paraId="02140436" w14:textId="77777777">
      <w:pPr>
        <w:pStyle w:val="ListParagraph"/>
        <w:ind w:left="0"/>
        <w:rPr>
          <w:rStyle w:val="Strong"/>
          <w:rFonts w:ascii="Arial" w:hAnsi="Arial" w:cs="Arial"/>
        </w:rPr>
      </w:pPr>
      <w:r w:rsidRPr="003B2CAE">
        <w:rPr>
          <w:rStyle w:val="Strong"/>
          <w:rFonts w:ascii="Arial" w:hAnsi="Arial" w:cs="Arial"/>
        </w:rPr>
        <w:t>Die Übermittlung der Daten an den GKV-Spitzenverband erfolgt innerhalb einer Woche.</w:t>
      </w:r>
    </w:p>
    <w:p w:rsidR="00880AA8" w:rsidP="00D92968" w14:paraId="61E56843" w14:textId="77777777">
      <w:pPr>
        <w:pStyle w:val="ListParagraph"/>
        <w:ind w:left="0"/>
        <w:rPr>
          <w:rStyle w:val="Strong"/>
          <w:rFonts w:ascii="Arial" w:hAnsi="Arial" w:cs="Arial"/>
        </w:rPr>
      </w:pPr>
    </w:p>
    <w:p w:rsidR="001369E1" w:rsidRPr="003B2CAE" w:rsidP="00D92968" w14:paraId="4C1ECCA5" w14:textId="77777777">
      <w:pPr>
        <w:pStyle w:val="ListParagraph"/>
        <w:ind w:left="0"/>
        <w:rPr>
          <w:rStyle w:val="Strong"/>
          <w:rFonts w:ascii="Arial" w:hAnsi="Arial" w:cs="Arial"/>
        </w:rPr>
      </w:pPr>
    </w:p>
    <w:p w:rsidR="00D92968" w:rsidRPr="003B2CAE" w:rsidP="00D9425D" w14:paraId="54F22FBB" w14:textId="77777777">
      <w:pPr>
        <w:pStyle w:val="Heading1"/>
      </w:pPr>
      <w:bookmarkStart w:id="334" w:name="_Toc256000438"/>
      <w:bookmarkStart w:id="335" w:name="_Toc256000518"/>
      <w:bookmarkStart w:id="336" w:name="_Toc256000495"/>
      <w:bookmarkStart w:id="337" w:name="_Toc256000472"/>
      <w:bookmarkStart w:id="338" w:name="_Toc256000449"/>
      <w:bookmarkStart w:id="339" w:name="_Toc256000426"/>
      <w:bookmarkStart w:id="340" w:name="_Toc256000403"/>
      <w:bookmarkStart w:id="341" w:name="_Toc256000380"/>
      <w:bookmarkStart w:id="342" w:name="_Toc256000357"/>
      <w:bookmarkStart w:id="343" w:name="_Toc256000334"/>
      <w:bookmarkStart w:id="344" w:name="_Toc256000311"/>
      <w:bookmarkStart w:id="345" w:name="_Toc256000288"/>
      <w:bookmarkStart w:id="346" w:name="_Toc256000265"/>
      <w:bookmarkStart w:id="347" w:name="_Toc256000242"/>
      <w:bookmarkStart w:id="348" w:name="_Toc256000219"/>
      <w:bookmarkStart w:id="349" w:name="_Toc256000204"/>
      <w:bookmarkStart w:id="350" w:name="_Toc256000181"/>
      <w:bookmarkStart w:id="351" w:name="_Toc256000136"/>
      <w:bookmarkStart w:id="352" w:name="_Toc256000170"/>
      <w:bookmarkStart w:id="353" w:name="_Toc256000126"/>
      <w:bookmarkStart w:id="354" w:name="_Toc256000099"/>
      <w:bookmarkStart w:id="355" w:name="_Toc256000045"/>
      <w:bookmarkStart w:id="356" w:name="_Toc256000025"/>
      <w:bookmarkStart w:id="357" w:name="_Toc256000080"/>
      <w:bookmarkStart w:id="358" w:name="_Toc499627247"/>
      <w:bookmarkStart w:id="359" w:name="_Toc502739300"/>
      <w:bookmarkStart w:id="360" w:name="_Toc502751896"/>
      <w:bookmarkStart w:id="361" w:name="_Toc502836647"/>
      <w:bookmarkStart w:id="362" w:name="_Toc504998958"/>
      <w:bookmarkStart w:id="363" w:name="_Toc505003447"/>
      <w:bookmarkStart w:id="364" w:name="_Toc505172759"/>
      <w:bookmarkStart w:id="365" w:name="_Toc524591887"/>
      <w:r w:rsidRPr="003B2CAE">
        <w:t>Folgen der Aussetzung oder Zurückziehung der Akkreditierung</w:t>
      </w:r>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r w:rsidRPr="003B2CAE" w:rsidR="00F208C3">
        <w:t xml:space="preserve"> von mdc</w:t>
      </w:r>
    </w:p>
    <w:p w:rsidR="00D92968" w:rsidRPr="003B2CAE" w:rsidP="00D92968" w14:paraId="6A1E07E7" w14:textId="77777777">
      <w:pPr>
        <w:rPr>
          <w:rFonts w:cs="Arial"/>
        </w:rPr>
      </w:pPr>
      <w:r w:rsidRPr="003B2CAE">
        <w:rPr>
          <w:rFonts w:cs="Arial"/>
        </w:rPr>
        <w:t>Die Präqualifizierung des Leistungserbringers ist abhängig von der Akkreditierung der Präqualifizierungsstelle</w:t>
      </w:r>
      <w:r w:rsidRPr="003B2CAE" w:rsidR="00F208C3">
        <w:rPr>
          <w:rFonts w:cs="Arial"/>
        </w:rPr>
        <w:t xml:space="preserve"> mdc</w:t>
      </w:r>
      <w:r w:rsidRPr="003B2CAE">
        <w:rPr>
          <w:rFonts w:cs="Arial"/>
        </w:rPr>
        <w:t xml:space="preserve"> durch die akkreditierende Stelle. Sofern die Akkreditierung der Präqualifizierungsstelle erlischt, werden alle Leistungserbringer mit gültigen Zertifikaten darüber informiert. Die Aussetzung oder Zurückziehung (Erlöschen bzw. Widerruf) der Akkreditierung als </w:t>
      </w:r>
      <w:r w:rsidRPr="003B2CAE">
        <w:rPr>
          <w:rFonts w:eastAsiaTheme="minorEastAsia" w:cs="Arial"/>
        </w:rPr>
        <w:t>Präqualifizierungsstelle</w:t>
      </w:r>
      <w:r w:rsidRPr="003B2CAE" w:rsidR="007934FB">
        <w:rPr>
          <w:rFonts w:cs="Arial"/>
        </w:rPr>
        <w:t xml:space="preserve"> führt zur Ungültigkeit der</w:t>
      </w:r>
      <w:r w:rsidRPr="003B2CAE">
        <w:rPr>
          <w:rFonts w:cs="Arial"/>
        </w:rPr>
        <w:t xml:space="preserve"> Präqualifizierung des Leistungserbringers.</w:t>
      </w:r>
      <w:bookmarkEnd w:id="301"/>
    </w:p>
    <w:p w:rsidR="00D92968" w:rsidP="00D92968" w14:paraId="1D221A23" w14:textId="77777777">
      <w:pPr>
        <w:rPr>
          <w:rFonts w:cs="Arial"/>
        </w:rPr>
      </w:pPr>
    </w:p>
    <w:p w:rsidR="00444E63" w:rsidRPr="003B2CAE" w:rsidP="00D92968" w14:paraId="405175CD" w14:textId="77777777">
      <w:pPr>
        <w:rPr>
          <w:rFonts w:cs="Arial"/>
        </w:rPr>
      </w:pPr>
    </w:p>
    <w:p w:rsidR="00D92968" w:rsidRPr="003B2CAE" w:rsidP="00D9425D" w14:paraId="1020FF16" w14:textId="77777777">
      <w:pPr>
        <w:pStyle w:val="Heading1"/>
      </w:pPr>
      <w:bookmarkStart w:id="366" w:name="_Toc256000461"/>
      <w:bookmarkStart w:id="367" w:name="_Toc256000519"/>
      <w:bookmarkStart w:id="368" w:name="_Toc256000496"/>
      <w:bookmarkStart w:id="369" w:name="_Toc256000473"/>
      <w:bookmarkStart w:id="370" w:name="_Toc256000450"/>
      <w:bookmarkStart w:id="371" w:name="_Toc256000427"/>
      <w:bookmarkStart w:id="372" w:name="_Toc256000404"/>
      <w:bookmarkStart w:id="373" w:name="_Toc256000381"/>
      <w:bookmarkStart w:id="374" w:name="_Toc256000358"/>
      <w:bookmarkStart w:id="375" w:name="_Toc256000335"/>
      <w:bookmarkStart w:id="376" w:name="_Toc256000312"/>
      <w:bookmarkStart w:id="377" w:name="_Toc256000289"/>
      <w:bookmarkStart w:id="378" w:name="_Toc256000266"/>
      <w:bookmarkStart w:id="379" w:name="_Toc256000243"/>
      <w:bookmarkStart w:id="380" w:name="_Toc256000220"/>
      <w:bookmarkStart w:id="381" w:name="_Toc505003448"/>
      <w:bookmarkStart w:id="382" w:name="_Toc505172760"/>
      <w:bookmarkStart w:id="383" w:name="_Toc524591888"/>
      <w:bookmarkStart w:id="384" w:name="_Toc256000205"/>
      <w:bookmarkStart w:id="385" w:name="_Toc256000182"/>
      <w:bookmarkStart w:id="386" w:name="_Toc256000137"/>
      <w:bookmarkStart w:id="387" w:name="_Toc256000171"/>
      <w:bookmarkStart w:id="388" w:name="_Toc256000127"/>
      <w:bookmarkStart w:id="389" w:name="_Toc256000100"/>
      <w:bookmarkStart w:id="390" w:name="_Toc256000046"/>
      <w:bookmarkStart w:id="391" w:name="_Toc502751897"/>
      <w:bookmarkStart w:id="392" w:name="_Toc502836648"/>
      <w:bookmarkStart w:id="393" w:name="_Toc504998959"/>
      <w:r w:rsidRPr="003B2CAE">
        <w:t>Transfer von Zertifikaten</w:t>
      </w:r>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p>
    <w:p w:rsidR="00A76BF8" w:rsidRPr="003B2CAE" w:rsidP="00D92968" w14:paraId="5CE698A7" w14:textId="77777777">
      <w:r w:rsidRPr="003B2CAE">
        <w:t>Der Transfer von Zertifikaten einer anderen Präqualifizierungsstelle erfolgt nur, wenn diese den Betrieb einstellt oder deren Akkreditierung erloschen ist.</w:t>
      </w:r>
    </w:p>
    <w:p w:rsidR="00A76BF8" w:rsidRPr="003B2CAE" w:rsidP="00D92968" w14:paraId="157B1836" w14:textId="77777777"/>
    <w:p w:rsidR="00D92968" w:rsidRPr="003B2CAE" w:rsidP="00D92968" w14:paraId="2E5C856B" w14:textId="77777777">
      <w:r w:rsidRPr="003B2CAE">
        <w:t>Die Regelungen zum Transfer von Präqualifizierungs</w:t>
      </w:r>
      <w:r w:rsidRPr="003B2CAE" w:rsidR="00F208C3">
        <w:t>-</w:t>
      </w:r>
      <w:r w:rsidRPr="003B2CAE">
        <w:t xml:space="preserve">zertifikaten </w:t>
      </w:r>
      <w:r w:rsidRPr="003B2CAE" w:rsidR="000034D8">
        <w:t xml:space="preserve">orientieren sich </w:t>
      </w:r>
      <w:r w:rsidRPr="003B2CAE" w:rsidR="00897CED">
        <w:t>am IAF MD 2 in der deutschen Übersetzung der jeweils gültigen Fassung</w:t>
      </w:r>
      <w:r w:rsidRPr="003B2CAE">
        <w:t>.</w:t>
      </w:r>
    </w:p>
    <w:p w:rsidR="00D92968" w:rsidRPr="003B2CAE" w:rsidP="00D92968" w14:paraId="2E771D62" w14:textId="77777777"/>
    <w:p w:rsidR="00A76BF8" w:rsidRPr="003B2CAE" w:rsidP="00D92968" w14:paraId="2AAF0554" w14:textId="77777777">
      <w:r w:rsidRPr="003B2CAE">
        <w:t>Nur gültige Zertifikate werden transferiert. Der Transfer muss innerhalb von sechs</w:t>
      </w:r>
      <w:r w:rsidRPr="003B2CAE">
        <w:rPr>
          <w:color w:val="FF0000"/>
        </w:rPr>
        <w:t xml:space="preserve"> </w:t>
      </w:r>
      <w:r w:rsidRPr="003B2CAE">
        <w:t>Monaten nach Einstellung des Geschäftsbetriebes oder Ablauf der Akkreditierung erfolgen.</w:t>
      </w:r>
    </w:p>
    <w:p w:rsidR="00D92968" w:rsidRPr="003B2CAE" w:rsidP="00D92968" w14:paraId="176C415C" w14:textId="77777777">
      <w:r w:rsidRPr="003B2CAE">
        <w:t>Abgelaufene, ausgesetzte oder ungültige Zertifikate werden nicht transferiert. Diese sind als Neuanträge einzustufen.</w:t>
      </w:r>
    </w:p>
    <w:p w:rsidR="00B912F7" w:rsidRPr="003B2CAE" w:rsidP="00D92968" w14:paraId="2F1411BB" w14:textId="77777777"/>
    <w:p w:rsidR="00B912F7" w:rsidRPr="003B2CAE" w:rsidP="00D92968" w14:paraId="2FF90C53" w14:textId="77777777">
      <w:r w:rsidRPr="003B2CAE">
        <w:t>Die Akkreditierungsstelle muss vor dem Transfer informiert werden.</w:t>
      </w:r>
    </w:p>
    <w:p w:rsidR="00D92968" w:rsidRPr="003B2CAE" w:rsidP="00D92968" w14:paraId="005A9A62" w14:textId="77777777"/>
    <w:p w:rsidR="00A76BF8" w:rsidRPr="003B2CAE" w:rsidP="00D92968" w14:paraId="2EE146FE" w14:textId="77777777">
      <w:r w:rsidRPr="003B2CAE">
        <w:t>Für den Transfer von Zertifikaten müssen alle Verfahrensschritte zur Präqualifizierung durchlaufen werden. Die Dokumentenprüfung erfolgt dabei im Rahmen der Evaluierung. Die Dokumentation erfolgt analog der regulären Präqualifizierungsverfahren.</w:t>
      </w:r>
    </w:p>
    <w:p w:rsidR="00D92968" w:rsidRPr="003B2CAE" w:rsidP="00D92968" w14:paraId="136D4A41" w14:textId="77777777">
      <w:r w:rsidRPr="003B2CAE">
        <w:t xml:space="preserve">Folgende Punkte sind bei der </w:t>
      </w:r>
      <w:r w:rsidRPr="003B2CAE" w:rsidR="00C50267">
        <w:t xml:space="preserve">Übertragung </w:t>
      </w:r>
      <w:r w:rsidRPr="003B2CAE">
        <w:t>von Zertifikaten insbesondere zu beachten:</w:t>
      </w:r>
    </w:p>
    <w:p w:rsidR="00D92968" w:rsidRPr="003B2CAE" w:rsidP="00D92968" w14:paraId="62C66884" w14:textId="77777777"/>
    <w:p w:rsidR="00D92968" w:rsidRPr="003B2CAE" w:rsidP="00DA49F4" w14:paraId="70A4860A" w14:textId="77777777">
      <w:pPr>
        <w:pStyle w:val="ListParagraph"/>
        <w:numPr>
          <w:ilvl w:val="0"/>
          <w:numId w:val="29"/>
        </w:numPr>
        <w:ind w:left="284" w:hanging="284"/>
        <w:jc w:val="left"/>
      </w:pPr>
      <w:r w:rsidRPr="003B2CAE">
        <w:t>Die einbezogenen Versorgungsbereiche der bisherigen Präqualifizierung müssen im Bereich der Akkreditierung der mdc liegen.</w:t>
      </w:r>
    </w:p>
    <w:p w:rsidR="00D92968" w:rsidRPr="003B2CAE" w:rsidP="000034D8" w14:paraId="72B711A9" w14:textId="77777777">
      <w:pPr>
        <w:pStyle w:val="ListParagraph"/>
        <w:numPr>
          <w:ilvl w:val="0"/>
          <w:numId w:val="29"/>
        </w:numPr>
        <w:ind w:left="284" w:hanging="284"/>
      </w:pPr>
      <w:r w:rsidRPr="003B2CAE">
        <w:t>Die Gründe für das Beantragen einer Übertragung müssen vom Kunden benannt werden.</w:t>
      </w:r>
    </w:p>
    <w:p w:rsidR="00D92968" w:rsidRPr="003B2CAE" w:rsidP="000034D8" w14:paraId="742D6D1D" w14:textId="77777777">
      <w:pPr>
        <w:pStyle w:val="ListParagraph"/>
        <w:numPr>
          <w:ilvl w:val="0"/>
          <w:numId w:val="29"/>
        </w:numPr>
        <w:ind w:left="284" w:hanging="284"/>
      </w:pPr>
      <w:r w:rsidRPr="003B2CAE">
        <w:t>Das Zertifikat muss ohne Einschränkungen laufend gültig und echt sein. Sofern möglich müssen Informationen zum Status des Zertifikates von der abgebenden Stelle eingeholt werden.</w:t>
      </w:r>
    </w:p>
    <w:p w:rsidR="00D92968" w:rsidRPr="003B2CAE" w:rsidP="000034D8" w14:paraId="0DBFE0F5" w14:textId="77777777">
      <w:pPr>
        <w:pStyle w:val="ListParagraph"/>
        <w:numPr>
          <w:ilvl w:val="0"/>
          <w:numId w:val="29"/>
        </w:numPr>
        <w:ind w:left="284" w:hanging="284"/>
      </w:pPr>
      <w:r w:rsidRPr="003B2CAE">
        <w:t xml:space="preserve">Der Kunde oder die abgebende Stelle hat sämtliche Unterlagen und Nachweise, die zur Erfüllung der Anforderungen erforderlich sind, mdc zur Verfügung zu stellen. </w:t>
      </w:r>
      <w:r w:rsidRPr="003B2CAE" w:rsidR="000034D8">
        <w:t>mdc</w:t>
      </w:r>
      <w:r w:rsidRPr="003B2CAE">
        <w:t xml:space="preserve"> ist berechtigt fehlende oder ungenaue Unterlagen nachzufordern. </w:t>
      </w:r>
      <w:r w:rsidRPr="003B2CAE" w:rsidR="001947E7">
        <w:t xml:space="preserve">Begehungen können im Einzelfall durchgeführt werden. </w:t>
      </w:r>
      <w:r w:rsidRPr="003B2CAE">
        <w:t>Werden Unterlagen nicht oder unvollständig eingereicht</w:t>
      </w:r>
      <w:r w:rsidRPr="003B2CAE" w:rsidR="00A76BF8">
        <w:t xml:space="preserve"> oder andere Faktoren verhindern den Abschluss des Transfers</w:t>
      </w:r>
      <w:r w:rsidRPr="003B2CAE">
        <w:t xml:space="preserve">, muss </w:t>
      </w:r>
      <w:r w:rsidRPr="003B2CAE" w:rsidR="00A76BF8">
        <w:t>ein</w:t>
      </w:r>
      <w:r w:rsidRPr="003B2CAE">
        <w:t xml:space="preserve"> </w:t>
      </w:r>
      <w:r w:rsidRPr="003B2CAE" w:rsidR="00A76BF8">
        <w:t>neues Präqualifizierungserfahren</w:t>
      </w:r>
      <w:r w:rsidRPr="003B2CAE">
        <w:t xml:space="preserve"> erfolgen.</w:t>
      </w:r>
    </w:p>
    <w:p w:rsidR="00D92968" w:rsidRPr="003B2CAE" w:rsidP="000034D8" w14:paraId="1525CE61" w14:textId="77777777">
      <w:pPr>
        <w:pStyle w:val="ListParagraph"/>
        <w:numPr>
          <w:ilvl w:val="0"/>
          <w:numId w:val="29"/>
        </w:numPr>
        <w:ind w:left="284" w:hanging="284"/>
      </w:pPr>
      <w:r w:rsidRPr="003B2CAE">
        <w:t>Eventuell vorliegende Beschwerden einschließlich dazu getroffener Maßnahmen sind einzubeziehen.</w:t>
      </w:r>
    </w:p>
    <w:p w:rsidR="00D92968" w:rsidRPr="003B2CAE" w:rsidP="00D92968" w14:paraId="666B1BA1" w14:textId="77777777"/>
    <w:bookmarkEnd w:id="384"/>
    <w:bookmarkEnd w:id="385"/>
    <w:bookmarkEnd w:id="386"/>
    <w:bookmarkEnd w:id="387"/>
    <w:bookmarkEnd w:id="388"/>
    <w:bookmarkEnd w:id="389"/>
    <w:bookmarkEnd w:id="390"/>
    <w:bookmarkEnd w:id="391"/>
    <w:bookmarkEnd w:id="392"/>
    <w:bookmarkEnd w:id="393"/>
    <w:p w:rsidR="00E573D3" w:rsidRPr="003B2CAE" w:rsidP="00E573D3" w14:paraId="360FD8C3" w14:textId="77777777">
      <w:r w:rsidRPr="003B2CAE">
        <w:t>Bei positiver Entscheidung erfolgt der Transfer und der Kunde erhält ein Zertifikat mit der Restlaufzeit basierend auf den Laufzeiten der abgebenden Stelle. Durch die abgebende Stelle geplante Überwachungsmaßnahmen werden berücksichtigt. Unabhängig davon werden die von mdc festgelegten Regeln zur Überwachung angewendet.</w:t>
      </w:r>
    </w:p>
    <w:p w:rsidR="00E573D3" w:rsidRPr="003B2CAE" w:rsidP="00E573D3" w14:paraId="18FB928D" w14:textId="77777777"/>
    <w:p w:rsidR="00E573D3" w:rsidRPr="003B2CAE" w:rsidP="00E573D3" w14:paraId="0631D94F" w14:textId="77777777">
      <w:r w:rsidRPr="003B2CAE">
        <w:t xml:space="preserve">Die ursprünglich ausstellende Präqualifizierungsstelle muss über den erfolgten Transfer informiert werden, sofern die Möglichkeit dazu gegeben ist. </w:t>
      </w:r>
    </w:p>
    <w:p w:rsidR="00E573D3" w:rsidRPr="003B2CAE" w:rsidP="00E573D3" w14:paraId="416A5403" w14:textId="77777777"/>
    <w:p w:rsidR="00C436F5" w:rsidP="00B5732C" w14:paraId="2725C64A" w14:textId="77777777">
      <w:r w:rsidRPr="003B2CAE">
        <w:t>Überwachungsmaßnahmen sind erst nach Abschluss des Tran</w:t>
      </w:r>
      <w:r w:rsidRPr="003B2CAE" w:rsidR="00C50267">
        <w:t>s</w:t>
      </w:r>
      <w:r w:rsidRPr="003B2CAE">
        <w:t>fers möglich.</w:t>
      </w:r>
      <w:r w:rsidR="006B6680">
        <w:t xml:space="preserve"> </w:t>
      </w:r>
    </w:p>
    <w:sectPr w:rsidSect="002450A4">
      <w:headerReference w:type="even" r:id="rId10"/>
      <w:headerReference w:type="default" r:id="rId11"/>
      <w:footerReference w:type="even" r:id="rId12"/>
      <w:footerReference w:type="default" r:id="rId13"/>
      <w:headerReference w:type="first" r:id="rId14"/>
      <w:footerReference w:type="first" r:id="rId15"/>
      <w:pgSz w:w="11906" w:h="16838" w:code="9"/>
      <w:pgMar w:top="1134" w:right="851" w:bottom="794" w:left="1366" w:header="851" w:footer="624"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E7B9D" w14:paraId="527C515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Style w:val="Tabellenraster3"/>
      <w:tblW w:w="9701" w:type="dxa"/>
      <w:tblBorders>
        <w:left w:val="none" w:sz="0" w:space="0" w:color="auto"/>
        <w:bottom w:val="none" w:sz="0" w:space="0" w:color="auto"/>
        <w:right w:val="none" w:sz="0" w:space="0" w:color="auto"/>
        <w:insideV w:val="none" w:sz="0" w:space="0" w:color="auto"/>
      </w:tblBorders>
      <w:tblLayout w:type="fixed"/>
      <w:tblLook w:val="04A0"/>
    </w:tblPr>
    <w:tblGrid>
      <w:gridCol w:w="6503"/>
      <w:gridCol w:w="3198"/>
    </w:tblGrid>
    <w:tr w14:paraId="47357951" w14:textId="77777777" w:rsidTr="00EA565A">
      <w:tblPrEx>
        <w:tblW w:w="9701" w:type="dxa"/>
        <w:tblBorders>
          <w:left w:val="none" w:sz="0" w:space="0" w:color="auto"/>
          <w:bottom w:val="none" w:sz="0" w:space="0" w:color="auto"/>
          <w:right w:val="none" w:sz="0" w:space="0" w:color="auto"/>
          <w:insideV w:val="none" w:sz="0" w:space="0" w:color="auto"/>
        </w:tblBorders>
        <w:tblLayout w:type="fixed"/>
        <w:tblLook w:val="04A0"/>
      </w:tblPrEx>
      <w:tc>
        <w:tcPr>
          <w:tcW w:w="6486" w:type="dxa"/>
          <w:tcMar>
            <w:left w:w="0" w:type="dxa"/>
            <w:right w:w="0" w:type="dxa"/>
          </w:tcMar>
          <w:vAlign w:val="center"/>
        </w:tcPr>
        <w:p w:rsidR="00EA565A" w:rsidRPr="00EA565A" w:rsidP="00EA565A" w14:paraId="69B3B78F" w14:textId="77777777">
          <w:pPr>
            <w:tabs>
              <w:tab w:val="center" w:pos="4536"/>
              <w:tab w:val="right" w:pos="9072"/>
            </w:tabs>
            <w:rPr>
              <w:rFonts w:eastAsia="Calibri" w:cs="Arial"/>
              <w:szCs w:val="16"/>
            </w:rPr>
          </w:pPr>
        </w:p>
      </w:tc>
      <w:tc>
        <w:tcPr>
          <w:tcW w:w="3190" w:type="dxa"/>
          <w:tcMar>
            <w:left w:w="0" w:type="dxa"/>
            <w:right w:w="0" w:type="dxa"/>
          </w:tcMar>
          <w:vAlign w:val="center"/>
        </w:tcPr>
        <w:p w:rsidR="00EA565A" w:rsidRPr="00EA565A" w:rsidP="00EA565A" w14:paraId="2E95E315" w14:textId="77777777">
          <w:pPr>
            <w:tabs>
              <w:tab w:val="center" w:pos="4536"/>
              <w:tab w:val="right" w:pos="9072"/>
            </w:tabs>
            <w:jc w:val="right"/>
            <w:rPr>
              <w:rFonts w:eastAsia="Calibri" w:cs="Times New Roman"/>
            </w:rPr>
          </w:pPr>
          <w:r w:rsidRPr="00EA565A">
            <w:rPr>
              <w:rFonts w:eastAsia="Calibri" w:cs="Times New Roman"/>
            </w:rPr>
            <w:t xml:space="preserve">Seite </w:t>
          </w:r>
          <w:r w:rsidRPr="00EA565A">
            <w:rPr>
              <w:rFonts w:eastAsia="Calibri" w:cs="Times New Roman"/>
            </w:rPr>
            <w:fldChar w:fldCharType="begin"/>
          </w:r>
          <w:r w:rsidRPr="00EA565A">
            <w:rPr>
              <w:rFonts w:eastAsia="Calibri" w:cs="Times New Roman"/>
            </w:rPr>
            <w:instrText xml:space="preserve"> PAGE   \* MERGEFORMAT </w:instrText>
          </w:r>
          <w:r w:rsidRPr="00EA565A">
            <w:rPr>
              <w:rFonts w:eastAsia="Calibri" w:cs="Times New Roman"/>
            </w:rPr>
            <w:fldChar w:fldCharType="separate"/>
          </w:r>
          <w:r w:rsidR="00B81EF1">
            <w:rPr>
              <w:rFonts w:ascii="Arial" w:eastAsia="Calibri" w:hAnsi="Arial" w:cs="Times New Roman"/>
              <w:noProof/>
              <w:sz w:val="16"/>
              <w:szCs w:val="22"/>
              <w:lang w:val="de-DE" w:eastAsia="en-US" w:bidi="ar-SA"/>
            </w:rPr>
            <w:t>3</w:t>
          </w:r>
          <w:r w:rsidRPr="00EA565A">
            <w:rPr>
              <w:rFonts w:eastAsia="Calibri" w:cs="Times New Roman"/>
            </w:rPr>
            <w:fldChar w:fldCharType="end"/>
          </w:r>
          <w:r w:rsidRPr="00EA565A">
            <w:rPr>
              <w:rFonts w:eastAsia="Calibri" w:cs="Times New Roman"/>
            </w:rPr>
            <w:t xml:space="preserve"> von </w:t>
          </w:r>
          <w:r w:rsidRPr="00EA565A">
            <w:rPr>
              <w:rFonts w:eastAsia="Calibri" w:cs="Times New Roman"/>
            </w:rPr>
            <w:fldChar w:fldCharType="begin"/>
          </w:r>
          <w:r w:rsidRPr="00EA565A">
            <w:rPr>
              <w:rFonts w:eastAsia="Calibri" w:cs="Times New Roman"/>
            </w:rPr>
            <w:instrText xml:space="preserve"> NUMPAGES   \* MERGEFORMAT </w:instrText>
          </w:r>
          <w:r w:rsidRPr="00EA565A">
            <w:rPr>
              <w:rFonts w:eastAsia="Calibri" w:cs="Times New Roman"/>
            </w:rPr>
            <w:fldChar w:fldCharType="separate"/>
          </w:r>
          <w:r w:rsidR="00B81EF1">
            <w:rPr>
              <w:rFonts w:ascii="Arial" w:eastAsia="Calibri" w:hAnsi="Arial" w:cs="Times New Roman"/>
              <w:noProof/>
              <w:sz w:val="16"/>
              <w:szCs w:val="22"/>
              <w:lang w:val="de-DE" w:eastAsia="en-US" w:bidi="ar-SA"/>
            </w:rPr>
            <w:t>3</w:t>
          </w:r>
          <w:r w:rsidRPr="00EA565A">
            <w:rPr>
              <w:rFonts w:eastAsia="Calibri" w:cs="Times New Roman"/>
            </w:rPr>
            <w:fldChar w:fldCharType="end"/>
          </w:r>
        </w:p>
      </w:tc>
    </w:tr>
  </w:tbl>
  <w:p w:rsidR="00B922B7" w:rsidRPr="005F62FE" w:rsidP="005F62FE" w14:paraId="697BE659" w14:textId="77777777">
    <w:pPr>
      <w:pStyle w:val="Footer"/>
      <w:rPr>
        <w:rFonts w:cs="Arial"/>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E7B9D" w14:paraId="4998B08B"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E7B9D" w14:paraId="0C5C3482"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Style w:val="TableGrid"/>
      <w:tblW w:w="9701" w:type="dxa"/>
      <w:jc w:val="center"/>
      <w:tblLayout w:type="fixed"/>
      <w:tblLook w:val="04A0"/>
    </w:tblPr>
    <w:tblGrid>
      <w:gridCol w:w="2279"/>
      <w:gridCol w:w="5664"/>
      <w:gridCol w:w="1758"/>
    </w:tblGrid>
    <w:tr w14:paraId="7CE76034" w14:textId="77777777" w:rsidTr="002C3167">
      <w:tblPrEx>
        <w:tblW w:w="9701" w:type="dxa"/>
        <w:jc w:val="center"/>
        <w:tblLayout w:type="fixed"/>
        <w:tblLook w:val="04A0"/>
      </w:tblPrEx>
      <w:trPr>
        <w:trHeight w:val="420"/>
        <w:jc w:val="center"/>
      </w:trPr>
      <w:tc>
        <w:tcPr>
          <w:tcW w:w="2279" w:type="dxa"/>
          <w:vMerge w:val="restart"/>
          <w:vAlign w:val="center"/>
        </w:tcPr>
        <w:p w:rsidR="00F67B38" w:rsidP="00B93EAC" w14:paraId="50A0531D" w14:textId="77777777">
          <w:pPr>
            <w:pStyle w:val="Header"/>
            <w:jc w:val="center"/>
          </w:pPr>
          <w:r>
            <w:rPr>
              <w:noProof/>
              <w:lang w:eastAsia="de-DE"/>
            </w:rPr>
            <w:drawing>
              <wp:inline distT="0" distB="0" distL="0" distR="0">
                <wp:extent cx="1368000" cy="381600"/>
                <wp:effectExtent l="0" t="0" r="381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mdc_rgb_2020-02.png"/>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368000" cy="381600"/>
                        </a:xfrm>
                        <a:prstGeom prst="rect">
                          <a:avLst/>
                        </a:prstGeom>
                      </pic:spPr>
                    </pic:pic>
                  </a:graphicData>
                </a:graphic>
              </wp:inline>
            </w:drawing>
          </w:r>
        </w:p>
      </w:tc>
      <w:tc>
        <w:tcPr>
          <w:tcW w:w="5664" w:type="dxa"/>
          <w:vMerge w:val="restart"/>
          <w:vAlign w:val="center"/>
        </w:tcPr>
        <w:p w:rsidR="00F67B38" w:rsidRPr="00C90EA2" w:rsidP="00F67B38" w14:paraId="31A160F1" w14:textId="77777777">
          <w:pPr>
            <w:pStyle w:val="Title"/>
            <w:spacing w:before="0" w:after="0"/>
          </w:pPr>
          <w:r w:rsidRPr="00C90EA2">
            <w:fldChar w:fldCharType="begin"/>
          </w:r>
          <w:r>
            <w:instrText xml:space="preserve"> DOCPROPERTY rox_Title \* MERGEFORMAT </w:instrText>
          </w:r>
          <w:r w:rsidRPr="00C90EA2">
            <w:fldChar w:fldCharType="separate"/>
          </w:r>
          <w:r w:rsidRPr="00C90EA2">
            <w:t>Verfahrensbeschreibung Präqualifizierung</w:t>
          </w:r>
          <w:r w:rsidRPr="00C90EA2">
            <w:fldChar w:fldCharType="end"/>
          </w:r>
        </w:p>
      </w:tc>
      <w:tc>
        <w:tcPr>
          <w:tcW w:w="1758" w:type="dxa"/>
          <w:vAlign w:val="center"/>
        </w:tcPr>
        <w:p w:rsidR="00F67B38" w:rsidRPr="00C90EA2" w:rsidP="00B93EAC" w14:paraId="1710DC7D" w14:textId="77777777">
          <w:pPr>
            <w:pStyle w:val="Kopf-undFuzeile"/>
          </w:pPr>
          <w:r w:rsidRPr="00C90EA2">
            <w:fldChar w:fldCharType="begin"/>
          </w:r>
          <w:r>
            <w:instrText xml:space="preserve"> DOCPROPERTY rox_Revision \* MERGEFORMAT </w:instrText>
          </w:r>
          <w:r w:rsidRPr="00C90EA2">
            <w:fldChar w:fldCharType="separate"/>
          </w:r>
          <w:r w:rsidRPr="00C90EA2">
            <w:t>012/02.2024</w:t>
          </w:r>
          <w:r w:rsidRPr="00C90EA2">
            <w:fldChar w:fldCharType="end"/>
          </w:r>
        </w:p>
      </w:tc>
    </w:tr>
    <w:tr w14:paraId="0988FC1D" w14:textId="77777777" w:rsidTr="002C3167">
      <w:tblPrEx>
        <w:tblW w:w="9701" w:type="dxa"/>
        <w:jc w:val="center"/>
        <w:tblLayout w:type="fixed"/>
        <w:tblLook w:val="04A0"/>
      </w:tblPrEx>
      <w:trPr>
        <w:trHeight w:val="420"/>
        <w:jc w:val="center"/>
      </w:trPr>
      <w:tc>
        <w:tcPr>
          <w:tcW w:w="2279" w:type="dxa"/>
          <w:vMerge/>
        </w:tcPr>
        <w:p w:rsidR="00F67B38" w:rsidP="00B93EAC" w14:paraId="53629EF4" w14:textId="77777777">
          <w:pPr>
            <w:pStyle w:val="Header"/>
          </w:pPr>
        </w:p>
      </w:tc>
      <w:tc>
        <w:tcPr>
          <w:tcW w:w="5664" w:type="dxa"/>
          <w:vMerge/>
        </w:tcPr>
        <w:p w:rsidR="00F67B38" w:rsidP="00B93EAC" w14:paraId="0978DE6C" w14:textId="77777777">
          <w:pPr>
            <w:pStyle w:val="Header"/>
          </w:pPr>
        </w:p>
      </w:tc>
      <w:tc>
        <w:tcPr>
          <w:tcW w:w="1758" w:type="dxa"/>
          <w:vAlign w:val="center"/>
        </w:tcPr>
        <w:p w:rsidR="00F67B38" w:rsidRPr="00C90EA2" w:rsidP="002C3167" w14:paraId="7CF9784C" w14:textId="77777777">
          <w:pPr>
            <w:pStyle w:val="Kopf-undFuzeile"/>
          </w:pPr>
          <w:r>
            <w:t xml:space="preserve">ID: </w:t>
          </w:r>
          <w:r>
            <w:fldChar w:fldCharType="begin"/>
          </w:r>
          <w:r>
            <w:instrText xml:space="preserve"> DOCPROPERTY rox_ID \* MERGEFORMAT </w:instrText>
          </w:r>
          <w:r>
            <w:fldChar w:fldCharType="separate"/>
          </w:r>
          <w:r>
            <w:t>1869</w:t>
          </w:r>
          <w:r>
            <w:fldChar w:fldCharType="end"/>
          </w:r>
        </w:p>
      </w:tc>
    </w:tr>
  </w:tbl>
  <w:p w:rsidR="00F67B38" w14:paraId="673CABCA"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E7B9D" w14:paraId="410233A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1D74B9"/>
    <w:multiLevelType w:val="hybridMultilevel"/>
    <w:tmpl w:val="433A9576"/>
    <w:lvl w:ilvl="0">
      <w:start w:val="1"/>
      <w:numFmt w:val="decimal"/>
      <w:lvlText w:val="%1"/>
      <w:lvlJc w:val="left"/>
      <w:pPr>
        <w:ind w:left="1298" w:hanging="360"/>
      </w:pPr>
      <w:rPr>
        <w:rFonts w:hint="default"/>
      </w:rPr>
    </w:lvl>
    <w:lvl w:ilvl="1" w:tentative="1">
      <w:start w:val="1"/>
      <w:numFmt w:val="lowerLetter"/>
      <w:lvlText w:val="%2."/>
      <w:lvlJc w:val="left"/>
      <w:pPr>
        <w:ind w:left="2018" w:hanging="360"/>
      </w:pPr>
    </w:lvl>
    <w:lvl w:ilvl="2" w:tentative="1">
      <w:start w:val="1"/>
      <w:numFmt w:val="lowerRoman"/>
      <w:lvlText w:val="%3."/>
      <w:lvlJc w:val="right"/>
      <w:pPr>
        <w:ind w:left="2738" w:hanging="180"/>
      </w:pPr>
    </w:lvl>
    <w:lvl w:ilvl="3" w:tentative="1">
      <w:start w:val="1"/>
      <w:numFmt w:val="decimal"/>
      <w:lvlText w:val="%4."/>
      <w:lvlJc w:val="left"/>
      <w:pPr>
        <w:ind w:left="3458" w:hanging="360"/>
      </w:pPr>
    </w:lvl>
    <w:lvl w:ilvl="4" w:tentative="1">
      <w:start w:val="1"/>
      <w:numFmt w:val="lowerLetter"/>
      <w:lvlText w:val="%5."/>
      <w:lvlJc w:val="left"/>
      <w:pPr>
        <w:ind w:left="4178" w:hanging="360"/>
      </w:pPr>
    </w:lvl>
    <w:lvl w:ilvl="5" w:tentative="1">
      <w:start w:val="1"/>
      <w:numFmt w:val="lowerRoman"/>
      <w:lvlText w:val="%6."/>
      <w:lvlJc w:val="right"/>
      <w:pPr>
        <w:ind w:left="4898" w:hanging="180"/>
      </w:pPr>
    </w:lvl>
    <w:lvl w:ilvl="6" w:tentative="1">
      <w:start w:val="1"/>
      <w:numFmt w:val="decimal"/>
      <w:lvlText w:val="%7."/>
      <w:lvlJc w:val="left"/>
      <w:pPr>
        <w:ind w:left="5618" w:hanging="360"/>
      </w:pPr>
    </w:lvl>
    <w:lvl w:ilvl="7" w:tentative="1">
      <w:start w:val="1"/>
      <w:numFmt w:val="lowerLetter"/>
      <w:lvlText w:val="%8."/>
      <w:lvlJc w:val="left"/>
      <w:pPr>
        <w:ind w:left="6338" w:hanging="360"/>
      </w:pPr>
    </w:lvl>
    <w:lvl w:ilvl="8" w:tentative="1">
      <w:start w:val="1"/>
      <w:numFmt w:val="lowerRoman"/>
      <w:lvlText w:val="%9."/>
      <w:lvlJc w:val="right"/>
      <w:pPr>
        <w:ind w:left="7058" w:hanging="180"/>
      </w:pPr>
    </w:lvl>
  </w:abstractNum>
  <w:abstractNum w:abstractNumId="1">
    <w:nsid w:val="029C3E1D"/>
    <w:multiLevelType w:val="multilevel"/>
    <w:tmpl w:val="A832397C"/>
    <w:lvl w:ilvl="0">
      <w:start w:val="3"/>
      <w:numFmt w:val="decimal"/>
      <w:lvlText w:val="%1"/>
      <w:lvlJc w:val="left"/>
      <w:pPr>
        <w:ind w:left="360" w:hanging="360"/>
      </w:pPr>
      <w:rPr>
        <w:rFonts w:hint="default"/>
      </w:rPr>
    </w:lvl>
    <w:lvl w:ilvl="1">
      <w:start w:val="1"/>
      <w:numFmt w:val="decimal"/>
      <w:lvlText w:val="%1.%2"/>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2B037BB"/>
    <w:multiLevelType w:val="multilevel"/>
    <w:tmpl w:val="B054267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2E81F7A"/>
    <w:multiLevelType w:val="hybridMultilevel"/>
    <w:tmpl w:val="9DD0A7E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3A33128"/>
    <w:multiLevelType w:val="hybridMultilevel"/>
    <w:tmpl w:val="F76C6B6A"/>
    <w:lvl w:ilvl="0">
      <w:start w:val="1"/>
      <w:numFmt w:val="bullet"/>
      <w:lvlText w:val="-"/>
      <w:lvlJc w:val="left"/>
      <w:pPr>
        <w:ind w:left="720" w:hanging="360"/>
      </w:pPr>
      <w:rPr>
        <w:rFonts w:ascii="Times New Roman" w:eastAsia="Times New Roman" w:hAnsi="Times New Roman" w:cs="Times New Roman" w:hint="default"/>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06C15CD3"/>
    <w:multiLevelType w:val="hybridMultilevel"/>
    <w:tmpl w:val="91FC1950"/>
    <w:lvl w:ilvl="0">
      <w:start w:val="1"/>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0C401966"/>
    <w:multiLevelType w:val="hybridMultilevel"/>
    <w:tmpl w:val="B6209D3E"/>
    <w:lvl w:ilvl="0">
      <w:start w:val="1"/>
      <w:numFmt w:val="decimal"/>
      <w:lvlText w:val="%1.1.1.1.  "/>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0CBC376F"/>
    <w:multiLevelType w:val="multilevel"/>
    <w:tmpl w:val="3E464C70"/>
    <w:lvl w:ilvl="0">
      <w:start w:val="1"/>
      <w:numFmt w:val="decimal"/>
      <w:lvlText w:val="%1"/>
      <w:lvlJc w:val="left"/>
      <w:pPr>
        <w:ind w:left="432" w:hanging="432"/>
      </w:pPr>
      <w:rPr>
        <w:rFonts w:hint="default"/>
        <w:sz w:val="22"/>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nsid w:val="0D603C19"/>
    <w:multiLevelType w:val="multilevel"/>
    <w:tmpl w:val="DEBEC262"/>
    <w:lvl w:ilvl="0">
      <w:start w:val="1"/>
      <w:numFmt w:val="decimal"/>
      <w:pStyle w:val="Heading1"/>
      <w:lvlText w:val="%1."/>
      <w:lvlJc w:val="left"/>
      <w:pPr>
        <w:ind w:left="360" w:hanging="360"/>
      </w:pPr>
    </w:lvl>
    <w:lvl w:ilvl="1">
      <w:start w:val="1"/>
      <w:numFmt w:val="decimal"/>
      <w:lvlText w:val="%1.%2."/>
      <w:lvlJc w:val="left"/>
      <w:pPr>
        <w:ind w:left="792" w:hanging="432"/>
      </w:pPr>
      <w:rPr>
        <w:rFonts w:hint="default"/>
        <w:sz w:val="22"/>
        <w:szCs w:val="22"/>
      </w:rPr>
    </w:lvl>
    <w:lvl w:ilvl="2">
      <w:start w:val="1"/>
      <w:numFmt w:val="decimal"/>
      <w:lvlText w:val="%1.%2.%3."/>
      <w:lvlJc w:val="left"/>
      <w:pPr>
        <w:ind w:left="930"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111F019B"/>
    <w:multiLevelType w:val="hybridMultilevel"/>
    <w:tmpl w:val="8DFC76D6"/>
    <w:lvl w:ilvl="0">
      <w:start w:val="1"/>
      <w:numFmt w:val="bullet"/>
      <w:lvlText w:val="-"/>
      <w:lvlJc w:val="left"/>
      <w:pPr>
        <w:ind w:left="720" w:hanging="360"/>
      </w:pPr>
      <w:rPr>
        <w:rFonts w:ascii="Times New Roman" w:eastAsia="Times New Roman" w:hAnsi="Times New Roman" w:cs="Times New Roman" w:hint="default"/>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120623D1"/>
    <w:multiLevelType w:val="hybridMultilevel"/>
    <w:tmpl w:val="77F0B488"/>
    <w:lvl w:ilvl="0">
      <w:start w:val="1"/>
      <w:numFmt w:val="bullet"/>
      <w:lvlText w:val="-"/>
      <w:lvlJc w:val="left"/>
      <w:pPr>
        <w:ind w:left="720" w:hanging="360"/>
      </w:pPr>
      <w:rPr>
        <w:rFonts w:hint="default"/>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15A51A66"/>
    <w:multiLevelType w:val="multilevel"/>
    <w:tmpl w:val="D0C0D9A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15A6308F"/>
    <w:multiLevelType w:val="multilevel"/>
    <w:tmpl w:val="9F12112C"/>
    <w:lvl w:ilvl="0">
      <w:start w:val="1"/>
      <w:numFmt w:val="decimal"/>
      <w:lvlText w:val="%1."/>
      <w:lvlJc w:val="left"/>
      <w:pPr>
        <w:ind w:left="360" w:hanging="360"/>
      </w:pPr>
      <w:rPr>
        <w:rFonts w:hint="default"/>
      </w:rPr>
    </w:lvl>
    <w:lvl w:ilvl="1">
      <w:start w:val="1"/>
      <w:numFmt w:val="ordinal"/>
      <w:lvlText w:val="%1%2"/>
      <w:lvlJc w:val="left"/>
      <w:pPr>
        <w:tabs>
          <w:tab w:val="num" w:pos="680"/>
        </w:tabs>
        <w:ind w:left="0" w:firstLine="0"/>
      </w:pPr>
      <w:rPr>
        <w:rFonts w:hint="default"/>
      </w:rPr>
    </w:lvl>
    <w:lvl w:ilvl="2">
      <w:start w:val="1"/>
      <w:numFmt w:val="none"/>
      <w:lvlRestart w:val="0"/>
      <w:lvlText w:val="%3"/>
      <w:lvlJc w:val="left"/>
      <w:pPr>
        <w:tabs>
          <w:tab w:val="num" w:pos="0"/>
        </w:tabs>
        <w:ind w:left="0" w:firstLine="0"/>
      </w:pPr>
      <w:rPr>
        <w:rFonts w:hint="default"/>
      </w:rPr>
    </w:lvl>
    <w:lvl w:ilvl="3">
      <w:start w:val="1"/>
      <w:numFmt w:val="none"/>
      <w:suff w:val="nothing"/>
      <w:lvlJc w:val="left"/>
      <w:pPr>
        <w:ind w:left="0" w:firstLine="0"/>
      </w:pPr>
      <w:rPr>
        <w:rFonts w:hint="default"/>
      </w:rPr>
    </w:lvl>
    <w:lvl w:ilvl="4">
      <w:start w:val="1"/>
      <w:numFmt w:val="none"/>
      <w:suff w:val="nothing"/>
      <w:lvlJc w:val="left"/>
      <w:pPr>
        <w:ind w:left="0" w:firstLine="0"/>
      </w:pPr>
      <w:rPr>
        <w:rFonts w:hint="default"/>
      </w:rPr>
    </w:lvl>
    <w:lvl w:ilvl="5">
      <w:start w:val="1"/>
      <w:numFmt w:val="none"/>
      <w:suff w:val="nothing"/>
      <w:lvlJc w:val="left"/>
      <w:pPr>
        <w:ind w:left="0" w:firstLine="0"/>
      </w:pPr>
      <w:rPr>
        <w:rFonts w:hint="default"/>
      </w:rPr>
    </w:lvl>
    <w:lvl w:ilvl="6">
      <w:start w:val="1"/>
      <w:numFmt w:val="none"/>
      <w:suff w:val="nothing"/>
      <w:lvlJc w:val="left"/>
      <w:pPr>
        <w:ind w:left="0" w:firstLine="0"/>
      </w:pPr>
      <w:rPr>
        <w:rFonts w:hint="default"/>
      </w:rPr>
    </w:lvl>
    <w:lvl w:ilvl="7">
      <w:start w:val="1"/>
      <w:numFmt w:val="none"/>
      <w:suff w:val="nothing"/>
      <w:lvlJc w:val="left"/>
      <w:pPr>
        <w:ind w:left="0" w:firstLine="0"/>
      </w:pPr>
      <w:rPr>
        <w:rFonts w:hint="default"/>
      </w:rPr>
    </w:lvl>
    <w:lvl w:ilvl="8">
      <w:start w:val="1"/>
      <w:numFmt w:val="none"/>
      <w:suff w:val="nothing"/>
      <w:lvlJc w:val="left"/>
      <w:pPr>
        <w:ind w:left="0" w:firstLine="0"/>
      </w:pPr>
      <w:rPr>
        <w:rFonts w:hint="default"/>
      </w:rPr>
    </w:lvl>
  </w:abstractNum>
  <w:abstractNum w:abstractNumId="13">
    <w:nsid w:val="1BE4392A"/>
    <w:multiLevelType w:val="multilevel"/>
    <w:tmpl w:val="B6A2D48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nsid w:val="253C1720"/>
    <w:multiLevelType w:val="multilevel"/>
    <w:tmpl w:val="AF189C8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28F44E35"/>
    <w:multiLevelType w:val="multilevel"/>
    <w:tmpl w:val="C0DA0946"/>
    <w:lvl w:ilvl="0">
      <w:start w:val="1"/>
      <w:numFmt w:val="decimal"/>
      <w:lvlText w:val="%1"/>
      <w:lvlJc w:val="left"/>
      <w:pPr>
        <w:ind w:left="432" w:hanging="432"/>
      </w:pPr>
      <w:rPr>
        <w:rFonts w:hint="default"/>
        <w:b/>
        <w:color w:val="000000" w:themeColor="text1"/>
      </w:rPr>
    </w:lvl>
    <w:lvl w:ilvl="1">
      <w:start w:val="3"/>
      <w:numFmt w:val="decimal"/>
      <w:lvlText w:val="%2.1"/>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nsid w:val="2BB872CE"/>
    <w:multiLevelType w:val="multilevel"/>
    <w:tmpl w:val="5CC6A5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nsid w:val="36CA13F7"/>
    <w:multiLevelType w:val="multilevel"/>
    <w:tmpl w:val="5CF6CB7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96529E9"/>
    <w:multiLevelType w:val="multilevel"/>
    <w:tmpl w:val="F2D0BFDE"/>
    <w:lvl w:ilvl="0">
      <w:start w:val="1"/>
      <w:numFmt w:val="decimal"/>
      <w:lvlText w:val="%1"/>
      <w:lvlJc w:val="left"/>
      <w:pPr>
        <w:ind w:left="432" w:hanging="432"/>
      </w:pPr>
      <w:rPr>
        <w:rFonts w:hint="default"/>
        <w:b/>
        <w:color w:val="000000" w:themeColor="text1"/>
      </w:rPr>
    </w:lvl>
    <w:lvl w:ilvl="1">
      <w:start w:val="3"/>
      <w:numFmt w:val="decimal"/>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9">
    <w:nsid w:val="3F0E4419"/>
    <w:multiLevelType w:val="hybridMultilevel"/>
    <w:tmpl w:val="52423F8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49057DB9"/>
    <w:multiLevelType w:val="multilevel"/>
    <w:tmpl w:val="B054267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A851CAE"/>
    <w:multiLevelType w:val="multilevel"/>
    <w:tmpl w:val="2814EEEA"/>
    <w:lvl w:ilvl="0">
      <w:start w:val="1"/>
      <w:numFmt w:val="decimal"/>
      <w:lvlText w:val="%1.    "/>
      <w:lvlJc w:val="left"/>
      <w:pPr>
        <w:ind w:left="360" w:hanging="360"/>
      </w:pPr>
      <w:rPr>
        <w:rFonts w:hint="default"/>
      </w:rPr>
    </w:lvl>
    <w:lvl w:ilvl="1">
      <w:start w:val="1"/>
      <w:numFmt w:val="decimal"/>
      <w:lvlText w:val="%1.%2."/>
      <w:lvlJc w:val="left"/>
      <w:pPr>
        <w:ind w:left="1756" w:hanging="432"/>
      </w:pPr>
    </w:lvl>
    <w:lvl w:ilvl="2">
      <w:start w:val="1"/>
      <w:numFmt w:val="decimal"/>
      <w:lvlText w:val="%1.%2.%3."/>
      <w:lvlJc w:val="left"/>
      <w:pPr>
        <w:ind w:left="2188" w:hanging="504"/>
      </w:pPr>
    </w:lvl>
    <w:lvl w:ilvl="3">
      <w:start w:val="1"/>
      <w:numFmt w:val="decimal"/>
      <w:lvlText w:val="%1.%2.%3.%4."/>
      <w:lvlJc w:val="left"/>
      <w:pPr>
        <w:ind w:left="2692" w:hanging="648"/>
      </w:pPr>
    </w:lvl>
    <w:lvl w:ilvl="4">
      <w:start w:val="1"/>
      <w:numFmt w:val="decimal"/>
      <w:lvlText w:val="%1.%2.%3.%4.%5."/>
      <w:lvlJc w:val="left"/>
      <w:pPr>
        <w:ind w:left="3196" w:hanging="792"/>
      </w:pPr>
    </w:lvl>
    <w:lvl w:ilvl="5">
      <w:start w:val="1"/>
      <w:numFmt w:val="decimal"/>
      <w:lvlText w:val="%1.%2.%3.%4.%5.%6."/>
      <w:lvlJc w:val="left"/>
      <w:pPr>
        <w:ind w:left="3700" w:hanging="936"/>
      </w:pPr>
    </w:lvl>
    <w:lvl w:ilvl="6">
      <w:start w:val="1"/>
      <w:numFmt w:val="decimal"/>
      <w:lvlText w:val="%1.%2.%3.%4.%5.%6.%7."/>
      <w:lvlJc w:val="left"/>
      <w:pPr>
        <w:ind w:left="4204" w:hanging="1080"/>
      </w:pPr>
    </w:lvl>
    <w:lvl w:ilvl="7">
      <w:start w:val="1"/>
      <w:numFmt w:val="decimal"/>
      <w:lvlText w:val="%1.%2.%3.%4.%5.%6.%7.%8."/>
      <w:lvlJc w:val="left"/>
      <w:pPr>
        <w:ind w:left="4708" w:hanging="1224"/>
      </w:pPr>
    </w:lvl>
    <w:lvl w:ilvl="8">
      <w:start w:val="1"/>
      <w:numFmt w:val="decimal"/>
      <w:lvlText w:val="%1.%2.%3.%4.%5.%6.%7.%8.%9."/>
      <w:lvlJc w:val="left"/>
      <w:pPr>
        <w:ind w:left="5284" w:hanging="1440"/>
      </w:pPr>
    </w:lvl>
  </w:abstractNum>
  <w:abstractNum w:abstractNumId="22">
    <w:nsid w:val="4AEE59A0"/>
    <w:multiLevelType w:val="hybridMultilevel"/>
    <w:tmpl w:val="A3FC9372"/>
    <w:lvl w:ilvl="0">
      <w:start w:val="1"/>
      <w:numFmt w:val="decimal"/>
      <w:lvlText w:val="%1.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3">
    <w:nsid w:val="4BF42773"/>
    <w:multiLevelType w:val="multilevel"/>
    <w:tmpl w:val="E934306A"/>
    <w:numStyleLink w:val="berschrift1Dokumente"/>
  </w:abstractNum>
  <w:abstractNum w:abstractNumId="24">
    <w:nsid w:val="513D63F5"/>
    <w:multiLevelType w:val="multilevel"/>
    <w:tmpl w:val="027C936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53BE54F9"/>
    <w:multiLevelType w:val="hybridMultilevel"/>
    <w:tmpl w:val="15C0A8F0"/>
    <w:lvl w:ilvl="0">
      <w:start w:val="1"/>
      <w:numFmt w:val="bullet"/>
      <w:lvlText w:val="-"/>
      <w:lvlJc w:val="left"/>
      <w:pPr>
        <w:ind w:left="720" w:hanging="360"/>
      </w:pPr>
      <w:rPr>
        <w:rFonts w:ascii="Times New Roman" w:eastAsia="Times New Roman" w:hAnsi="Times New Roman" w:cs="Times New Roman" w:hint="default"/>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nsid w:val="587370E2"/>
    <w:multiLevelType w:val="multilevel"/>
    <w:tmpl w:val="7244FB0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nsid w:val="58BB3EA8"/>
    <w:multiLevelType w:val="hybridMultilevel"/>
    <w:tmpl w:val="7DA83A3E"/>
    <w:lvl w:ilvl="0">
      <w:start w:val="1"/>
      <w:numFmt w:val="decimal"/>
      <w:lvlText w:val="%1.1.1.  "/>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59223691"/>
    <w:multiLevelType w:val="hybridMultilevel"/>
    <w:tmpl w:val="1542CFC4"/>
    <w:lvl w:ilvl="0">
      <w:start w:val="1"/>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5DE13BEF"/>
    <w:multiLevelType w:val="hybridMultilevel"/>
    <w:tmpl w:val="11B22902"/>
    <w:lvl w:ilvl="0">
      <w:start w:val="1"/>
      <w:numFmt w:val="bullet"/>
      <w:lvlText w:val="-"/>
      <w:lvlJc w:val="left"/>
      <w:pPr>
        <w:ind w:left="720" w:hanging="360"/>
      </w:pPr>
      <w:rPr>
        <w:rFonts w:ascii="Times New Roman" w:eastAsia="Times New Roman" w:hAnsi="Times New Roman" w:cs="Times New Roman" w:hint="default"/>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nsid w:val="61874818"/>
    <w:multiLevelType w:val="multilevel"/>
    <w:tmpl w:val="E934306A"/>
    <w:styleLink w:val="berschrift1Dokumente"/>
    <w:lvl w:ilvl="0">
      <w:start w:val="1"/>
      <w:numFmt w:val="decimal"/>
      <w:lvlText w:val="%1"/>
      <w:lvlJc w:val="left"/>
      <w:pPr>
        <w:ind w:left="567" w:hanging="567"/>
      </w:pPr>
      <w:rPr>
        <w:rFonts w:asciiTheme="majorHAnsi" w:hAnsiTheme="majorHAnsi" w:hint="default"/>
        <w:b/>
        <w:sz w:val="24"/>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1">
    <w:nsid w:val="6245367B"/>
    <w:multiLevelType w:val="multilevel"/>
    <w:tmpl w:val="80C6B11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2">
    <w:nsid w:val="6C430F95"/>
    <w:multiLevelType w:val="hybridMultilevel"/>
    <w:tmpl w:val="4A7A93DA"/>
    <w:lvl w:ilvl="0">
      <w:start w:val="1"/>
      <w:numFmt w:val="decimal"/>
      <w:lvlText w:val="%1.1.  "/>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6EBE3D2A"/>
    <w:multiLevelType w:val="hybridMultilevel"/>
    <w:tmpl w:val="28B879E6"/>
    <w:lvl w:ilvl="0">
      <w:start w:val="0"/>
      <w:numFmt w:val="bullet"/>
      <w:lvlText w:val=""/>
      <w:lvlJc w:val="left"/>
      <w:pPr>
        <w:ind w:left="720" w:hanging="360"/>
      </w:pPr>
      <w:rPr>
        <w:rFonts w:ascii="Wingdings" w:hAnsi="Wingdings" w:eastAsiaTheme="minorHAnsi"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4">
    <w:nsid w:val="6FCB10DE"/>
    <w:multiLevelType w:val="hybridMultilevel"/>
    <w:tmpl w:val="3CE691F6"/>
    <w:lvl w:ilvl="0">
      <w:start w:val="1"/>
      <w:numFmt w:val="decimal"/>
      <w:lvlText w:val="%1"/>
      <w:lvlJc w:val="left"/>
      <w:pPr>
        <w:ind w:left="1298" w:hanging="360"/>
      </w:pPr>
      <w:rPr>
        <w:rFonts w:hint="default"/>
      </w:rPr>
    </w:lvl>
    <w:lvl w:ilvl="1" w:tentative="1">
      <w:start w:val="1"/>
      <w:numFmt w:val="lowerLetter"/>
      <w:lvlText w:val="%2."/>
      <w:lvlJc w:val="left"/>
      <w:pPr>
        <w:ind w:left="2018" w:hanging="360"/>
      </w:pPr>
    </w:lvl>
    <w:lvl w:ilvl="2" w:tentative="1">
      <w:start w:val="1"/>
      <w:numFmt w:val="lowerRoman"/>
      <w:lvlText w:val="%3."/>
      <w:lvlJc w:val="right"/>
      <w:pPr>
        <w:ind w:left="2738" w:hanging="180"/>
      </w:pPr>
    </w:lvl>
    <w:lvl w:ilvl="3" w:tentative="1">
      <w:start w:val="1"/>
      <w:numFmt w:val="decimal"/>
      <w:lvlText w:val="%4."/>
      <w:lvlJc w:val="left"/>
      <w:pPr>
        <w:ind w:left="3458" w:hanging="360"/>
      </w:pPr>
    </w:lvl>
    <w:lvl w:ilvl="4" w:tentative="1">
      <w:start w:val="1"/>
      <w:numFmt w:val="lowerLetter"/>
      <w:lvlText w:val="%5."/>
      <w:lvlJc w:val="left"/>
      <w:pPr>
        <w:ind w:left="4178" w:hanging="360"/>
      </w:pPr>
    </w:lvl>
    <w:lvl w:ilvl="5" w:tentative="1">
      <w:start w:val="1"/>
      <w:numFmt w:val="lowerRoman"/>
      <w:lvlText w:val="%6."/>
      <w:lvlJc w:val="right"/>
      <w:pPr>
        <w:ind w:left="4898" w:hanging="180"/>
      </w:pPr>
    </w:lvl>
    <w:lvl w:ilvl="6" w:tentative="1">
      <w:start w:val="1"/>
      <w:numFmt w:val="decimal"/>
      <w:lvlText w:val="%7."/>
      <w:lvlJc w:val="left"/>
      <w:pPr>
        <w:ind w:left="5618" w:hanging="360"/>
      </w:pPr>
    </w:lvl>
    <w:lvl w:ilvl="7" w:tentative="1">
      <w:start w:val="1"/>
      <w:numFmt w:val="lowerLetter"/>
      <w:lvlText w:val="%8."/>
      <w:lvlJc w:val="left"/>
      <w:pPr>
        <w:ind w:left="6338" w:hanging="360"/>
      </w:pPr>
    </w:lvl>
    <w:lvl w:ilvl="8" w:tentative="1">
      <w:start w:val="1"/>
      <w:numFmt w:val="lowerRoman"/>
      <w:lvlText w:val="%9."/>
      <w:lvlJc w:val="right"/>
      <w:pPr>
        <w:ind w:left="7058" w:hanging="180"/>
      </w:pPr>
    </w:lvl>
  </w:abstractNum>
  <w:abstractNum w:abstractNumId="35">
    <w:nsid w:val="73642042"/>
    <w:multiLevelType w:val="hybridMultilevel"/>
    <w:tmpl w:val="FB603D14"/>
    <w:lvl w:ilvl="0">
      <w:start w:val="1"/>
      <w:numFmt w:val="decimal"/>
      <w:lvlText w:val="%1"/>
      <w:lvlJc w:val="left"/>
      <w:pPr>
        <w:ind w:left="1298" w:hanging="360"/>
      </w:pPr>
      <w:rPr>
        <w:rFonts w:hint="default"/>
      </w:rPr>
    </w:lvl>
    <w:lvl w:ilvl="1" w:tentative="1">
      <w:start w:val="1"/>
      <w:numFmt w:val="lowerLetter"/>
      <w:lvlText w:val="%2."/>
      <w:lvlJc w:val="left"/>
      <w:pPr>
        <w:ind w:left="2018" w:hanging="360"/>
      </w:pPr>
    </w:lvl>
    <w:lvl w:ilvl="2" w:tentative="1">
      <w:start w:val="1"/>
      <w:numFmt w:val="lowerRoman"/>
      <w:lvlText w:val="%3."/>
      <w:lvlJc w:val="right"/>
      <w:pPr>
        <w:ind w:left="2738" w:hanging="180"/>
      </w:pPr>
    </w:lvl>
    <w:lvl w:ilvl="3" w:tentative="1">
      <w:start w:val="1"/>
      <w:numFmt w:val="decimal"/>
      <w:lvlText w:val="%4."/>
      <w:lvlJc w:val="left"/>
      <w:pPr>
        <w:ind w:left="3458" w:hanging="360"/>
      </w:pPr>
    </w:lvl>
    <w:lvl w:ilvl="4" w:tentative="1">
      <w:start w:val="1"/>
      <w:numFmt w:val="lowerLetter"/>
      <w:lvlText w:val="%5."/>
      <w:lvlJc w:val="left"/>
      <w:pPr>
        <w:ind w:left="4178" w:hanging="360"/>
      </w:pPr>
    </w:lvl>
    <w:lvl w:ilvl="5" w:tentative="1">
      <w:start w:val="1"/>
      <w:numFmt w:val="lowerRoman"/>
      <w:lvlText w:val="%6."/>
      <w:lvlJc w:val="right"/>
      <w:pPr>
        <w:ind w:left="4898" w:hanging="180"/>
      </w:pPr>
    </w:lvl>
    <w:lvl w:ilvl="6" w:tentative="1">
      <w:start w:val="1"/>
      <w:numFmt w:val="decimal"/>
      <w:lvlText w:val="%7."/>
      <w:lvlJc w:val="left"/>
      <w:pPr>
        <w:ind w:left="5618" w:hanging="360"/>
      </w:pPr>
    </w:lvl>
    <w:lvl w:ilvl="7" w:tentative="1">
      <w:start w:val="1"/>
      <w:numFmt w:val="lowerLetter"/>
      <w:lvlText w:val="%8."/>
      <w:lvlJc w:val="left"/>
      <w:pPr>
        <w:ind w:left="6338" w:hanging="360"/>
      </w:pPr>
    </w:lvl>
    <w:lvl w:ilvl="8" w:tentative="1">
      <w:start w:val="1"/>
      <w:numFmt w:val="lowerRoman"/>
      <w:lvlText w:val="%9."/>
      <w:lvlJc w:val="right"/>
      <w:pPr>
        <w:ind w:left="7058" w:hanging="180"/>
      </w:pPr>
    </w:lvl>
  </w:abstractNum>
  <w:abstractNum w:abstractNumId="36">
    <w:nsid w:val="76D35EC1"/>
    <w:multiLevelType w:val="hybridMultilevel"/>
    <w:tmpl w:val="AE882AB4"/>
    <w:lvl w:ilvl="0">
      <w:start w:val="1"/>
      <w:numFmt w:val="bullet"/>
      <w:lvlText w:val="-"/>
      <w:lvlJc w:val="left"/>
      <w:pPr>
        <w:ind w:left="2520" w:hanging="360"/>
      </w:pPr>
      <w:rPr>
        <w:rFonts w:hint="default"/>
        <w:sz w:val="16"/>
      </w:rPr>
    </w:lvl>
    <w:lvl w:ilvl="1">
      <w:start w:val="1"/>
      <w:numFmt w:val="bullet"/>
      <w:lvlText w:val="o"/>
      <w:lvlJc w:val="left"/>
      <w:pPr>
        <w:ind w:left="3240" w:hanging="360"/>
      </w:pPr>
      <w:rPr>
        <w:rFonts w:ascii="Courier New" w:hAnsi="Courier New" w:cs="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cs="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cs="Courier New" w:hint="default"/>
      </w:rPr>
    </w:lvl>
    <w:lvl w:ilvl="8">
      <w:start w:val="1"/>
      <w:numFmt w:val="bullet"/>
      <w:lvlText w:val=""/>
      <w:lvlJc w:val="left"/>
      <w:pPr>
        <w:ind w:left="8280" w:hanging="360"/>
      </w:pPr>
      <w:rPr>
        <w:rFonts w:ascii="Wingdings" w:hAnsi="Wingdings" w:hint="default"/>
      </w:rPr>
    </w:lvl>
  </w:abstractNum>
  <w:abstractNum w:abstractNumId="37">
    <w:nsid w:val="77E72FD9"/>
    <w:multiLevelType w:val="hybridMultilevel"/>
    <w:tmpl w:val="9B906F64"/>
    <w:lvl w:ilvl="0">
      <w:start w:val="1"/>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nsid w:val="7F802159"/>
    <w:multiLevelType w:val="hybridMultilevel"/>
    <w:tmpl w:val="214A5502"/>
    <w:lvl w:ilvl="0">
      <w:start w:val="1"/>
      <w:numFmt w:val="bullet"/>
      <w:lvlText w:val="-"/>
      <w:lvlJc w:val="left"/>
      <w:pPr>
        <w:ind w:left="1146" w:hanging="360"/>
      </w:pPr>
      <w:rPr>
        <w:rFonts w:ascii="Times New Roman" w:eastAsia="Times New Roman" w:hAnsi="Times New Roman" w:cs="Times New Roman" w:hint="default"/>
      </w:rPr>
    </w:lvl>
    <w:lvl w:ilvl="1" w:tentative="1">
      <w:start w:val="1"/>
      <w:numFmt w:val="bullet"/>
      <w:lvlText w:val="o"/>
      <w:lvlJc w:val="left"/>
      <w:pPr>
        <w:ind w:left="1866" w:hanging="360"/>
      </w:pPr>
      <w:rPr>
        <w:rFonts w:ascii="Courier New" w:hAnsi="Courier New" w:cs="Courier New" w:hint="default"/>
      </w:rPr>
    </w:lvl>
    <w:lvl w:ilvl="2" w:tentative="1">
      <w:start w:val="1"/>
      <w:numFmt w:val="bullet"/>
      <w:lvlText w:val=""/>
      <w:lvlJc w:val="left"/>
      <w:pPr>
        <w:ind w:left="2586" w:hanging="360"/>
      </w:pPr>
      <w:rPr>
        <w:rFonts w:ascii="Wingdings" w:hAnsi="Wingdings" w:hint="default"/>
      </w:rPr>
    </w:lvl>
    <w:lvl w:ilvl="3" w:tentative="1">
      <w:start w:val="1"/>
      <w:numFmt w:val="bullet"/>
      <w:lvlText w:val=""/>
      <w:lvlJc w:val="left"/>
      <w:pPr>
        <w:ind w:left="3306" w:hanging="360"/>
      </w:pPr>
      <w:rPr>
        <w:rFonts w:ascii="Symbol" w:hAnsi="Symbol" w:hint="default"/>
      </w:rPr>
    </w:lvl>
    <w:lvl w:ilvl="4" w:tentative="1">
      <w:start w:val="1"/>
      <w:numFmt w:val="bullet"/>
      <w:lvlText w:val="o"/>
      <w:lvlJc w:val="left"/>
      <w:pPr>
        <w:ind w:left="4026" w:hanging="360"/>
      </w:pPr>
      <w:rPr>
        <w:rFonts w:ascii="Courier New" w:hAnsi="Courier New" w:cs="Courier New" w:hint="default"/>
      </w:rPr>
    </w:lvl>
    <w:lvl w:ilvl="5" w:tentative="1">
      <w:start w:val="1"/>
      <w:numFmt w:val="bullet"/>
      <w:lvlText w:val=""/>
      <w:lvlJc w:val="left"/>
      <w:pPr>
        <w:ind w:left="4746" w:hanging="360"/>
      </w:pPr>
      <w:rPr>
        <w:rFonts w:ascii="Wingdings" w:hAnsi="Wingdings" w:hint="default"/>
      </w:rPr>
    </w:lvl>
    <w:lvl w:ilvl="6" w:tentative="1">
      <w:start w:val="1"/>
      <w:numFmt w:val="bullet"/>
      <w:lvlText w:val=""/>
      <w:lvlJc w:val="left"/>
      <w:pPr>
        <w:ind w:left="5466" w:hanging="360"/>
      </w:pPr>
      <w:rPr>
        <w:rFonts w:ascii="Symbol" w:hAnsi="Symbol" w:hint="default"/>
      </w:rPr>
    </w:lvl>
    <w:lvl w:ilvl="7" w:tentative="1">
      <w:start w:val="1"/>
      <w:numFmt w:val="bullet"/>
      <w:lvlText w:val="o"/>
      <w:lvlJc w:val="left"/>
      <w:pPr>
        <w:ind w:left="6186" w:hanging="360"/>
      </w:pPr>
      <w:rPr>
        <w:rFonts w:ascii="Courier New" w:hAnsi="Courier New" w:cs="Courier New" w:hint="default"/>
      </w:rPr>
    </w:lvl>
    <w:lvl w:ilvl="8" w:tentative="1">
      <w:start w:val="1"/>
      <w:numFmt w:val="bullet"/>
      <w:lvlText w:val=""/>
      <w:lvlJc w:val="left"/>
      <w:pPr>
        <w:ind w:left="6906" w:hanging="360"/>
      </w:pPr>
      <w:rPr>
        <w:rFonts w:ascii="Wingdings" w:hAnsi="Wingdings" w:hint="default"/>
      </w:rPr>
    </w:lvl>
  </w:abstractNum>
  <w:num w:numId="1" w16cid:durableId="704407534">
    <w:abstractNumId w:val="3"/>
  </w:num>
  <w:num w:numId="2" w16cid:durableId="1421172760">
    <w:abstractNumId w:val="31"/>
  </w:num>
  <w:num w:numId="3" w16cid:durableId="1394696013">
    <w:abstractNumId w:val="12"/>
  </w:num>
  <w:num w:numId="4" w16cid:durableId="715472334">
    <w:abstractNumId w:val="12"/>
  </w:num>
  <w:num w:numId="5" w16cid:durableId="1215315034">
    <w:abstractNumId w:val="12"/>
  </w:num>
  <w:num w:numId="6" w16cid:durableId="78991083">
    <w:abstractNumId w:val="12"/>
  </w:num>
  <w:num w:numId="7" w16cid:durableId="1251625235">
    <w:abstractNumId w:val="22"/>
  </w:num>
  <w:num w:numId="8" w16cid:durableId="2031446937">
    <w:abstractNumId w:val="26"/>
  </w:num>
  <w:num w:numId="9" w16cid:durableId="1939479742">
    <w:abstractNumId w:val="7"/>
  </w:num>
  <w:num w:numId="10" w16cid:durableId="1042250146">
    <w:abstractNumId w:val="30"/>
  </w:num>
  <w:num w:numId="11" w16cid:durableId="2086877115">
    <w:abstractNumId w:val="23"/>
  </w:num>
  <w:num w:numId="12" w16cid:durableId="1223365378">
    <w:abstractNumId w:val="2"/>
  </w:num>
  <w:num w:numId="13" w16cid:durableId="1170099539">
    <w:abstractNumId w:val="13"/>
  </w:num>
  <w:num w:numId="14" w16cid:durableId="1708994064">
    <w:abstractNumId w:val="17"/>
  </w:num>
  <w:num w:numId="15" w16cid:durableId="579801510">
    <w:abstractNumId w:val="21"/>
  </w:num>
  <w:num w:numId="16" w16cid:durableId="2144039508">
    <w:abstractNumId w:val="20"/>
  </w:num>
  <w:num w:numId="17" w16cid:durableId="1964379544">
    <w:abstractNumId w:val="32"/>
  </w:num>
  <w:num w:numId="18" w16cid:durableId="886647358">
    <w:abstractNumId w:val="27"/>
  </w:num>
  <w:num w:numId="19" w16cid:durableId="1277323956">
    <w:abstractNumId w:val="6"/>
  </w:num>
  <w:num w:numId="20" w16cid:durableId="488135596">
    <w:abstractNumId w:val="16"/>
  </w:num>
  <w:num w:numId="21" w16cid:durableId="594098148">
    <w:abstractNumId w:val="0"/>
  </w:num>
  <w:num w:numId="22" w16cid:durableId="271478069">
    <w:abstractNumId w:val="34"/>
  </w:num>
  <w:num w:numId="23" w16cid:durableId="340088188">
    <w:abstractNumId w:val="35"/>
  </w:num>
  <w:num w:numId="24" w16cid:durableId="466550966">
    <w:abstractNumId w:val="18"/>
  </w:num>
  <w:num w:numId="25" w16cid:durableId="861630829">
    <w:abstractNumId w:val="33"/>
  </w:num>
  <w:num w:numId="26" w16cid:durableId="1351491150">
    <w:abstractNumId w:val="10"/>
  </w:num>
  <w:num w:numId="27" w16cid:durableId="542402093">
    <w:abstractNumId w:val="36"/>
  </w:num>
  <w:num w:numId="28" w16cid:durableId="1202664884">
    <w:abstractNumId w:val="8"/>
  </w:num>
  <w:num w:numId="29" w16cid:durableId="1380934598">
    <w:abstractNumId w:val="5"/>
  </w:num>
  <w:num w:numId="30" w16cid:durableId="677392498">
    <w:abstractNumId w:val="9"/>
  </w:num>
  <w:num w:numId="31" w16cid:durableId="984048052">
    <w:abstractNumId w:val="29"/>
  </w:num>
  <w:num w:numId="32" w16cid:durableId="883516934">
    <w:abstractNumId w:val="4"/>
  </w:num>
  <w:num w:numId="33" w16cid:durableId="1363631750">
    <w:abstractNumId w:val="25"/>
  </w:num>
  <w:num w:numId="34" w16cid:durableId="547575541">
    <w:abstractNumId w:val="37"/>
  </w:num>
  <w:num w:numId="35" w16cid:durableId="1616525429">
    <w:abstractNumId w:val="28"/>
  </w:num>
  <w:num w:numId="36" w16cid:durableId="1017970688">
    <w:abstractNumId w:val="38"/>
  </w:num>
  <w:num w:numId="37" w16cid:durableId="527254961">
    <w:abstractNumId w:val="24"/>
  </w:num>
  <w:num w:numId="38" w16cid:durableId="959460052">
    <w:abstractNumId w:val="18"/>
  </w:num>
  <w:num w:numId="39" w16cid:durableId="318119671">
    <w:abstractNumId w:val="18"/>
  </w:num>
  <w:num w:numId="40" w16cid:durableId="1593585514">
    <w:abstractNumId w:val="18"/>
  </w:num>
  <w:num w:numId="41" w16cid:durableId="1126775571">
    <w:abstractNumId w:val="18"/>
  </w:num>
  <w:num w:numId="42" w16cid:durableId="431753454">
    <w:abstractNumId w:val="15"/>
  </w:num>
  <w:num w:numId="43" w16cid:durableId="2114788288">
    <w:abstractNumId w:val="18"/>
  </w:num>
  <w:num w:numId="44" w16cid:durableId="986593171">
    <w:abstractNumId w:val="18"/>
  </w:num>
  <w:num w:numId="45" w16cid:durableId="784422422">
    <w:abstractNumId w:val="11"/>
  </w:num>
  <w:num w:numId="46" w16cid:durableId="1406104099">
    <w:abstractNumId w:val="14"/>
  </w:num>
  <w:num w:numId="47" w16cid:durableId="2016375026">
    <w:abstractNumId w:val="1"/>
  </w:num>
  <w:num w:numId="48" w16cid:durableId="771046990">
    <w:abstractNumId w:val="18"/>
  </w:num>
  <w:num w:numId="49" w16cid:durableId="89196468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oNotTrackMoves/>
  <w:doNotTrackFormatting/>
  <w:defaultTabStop w:val="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2B7"/>
    <w:rsid w:val="00000009"/>
    <w:rsid w:val="000033AC"/>
    <w:rsid w:val="000034D8"/>
    <w:rsid w:val="00004A88"/>
    <w:rsid w:val="00004B1A"/>
    <w:rsid w:val="00006898"/>
    <w:rsid w:val="00015EE5"/>
    <w:rsid w:val="000273EA"/>
    <w:rsid w:val="00033A42"/>
    <w:rsid w:val="00036DC6"/>
    <w:rsid w:val="00047955"/>
    <w:rsid w:val="00050090"/>
    <w:rsid w:val="00052F20"/>
    <w:rsid w:val="00055B38"/>
    <w:rsid w:val="000854B5"/>
    <w:rsid w:val="00094732"/>
    <w:rsid w:val="000963FB"/>
    <w:rsid w:val="000B0E8D"/>
    <w:rsid w:val="000B218D"/>
    <w:rsid w:val="000B73EB"/>
    <w:rsid w:val="000C5191"/>
    <w:rsid w:val="000C5D26"/>
    <w:rsid w:val="000C601C"/>
    <w:rsid w:val="000D504A"/>
    <w:rsid w:val="000E3D09"/>
    <w:rsid w:val="000F1BC2"/>
    <w:rsid w:val="000F3A0A"/>
    <w:rsid w:val="000F70C1"/>
    <w:rsid w:val="00122627"/>
    <w:rsid w:val="00131238"/>
    <w:rsid w:val="00134A2E"/>
    <w:rsid w:val="001369E1"/>
    <w:rsid w:val="00141301"/>
    <w:rsid w:val="00156F21"/>
    <w:rsid w:val="00160517"/>
    <w:rsid w:val="001608E2"/>
    <w:rsid w:val="001767AC"/>
    <w:rsid w:val="0019359C"/>
    <w:rsid w:val="001938AF"/>
    <w:rsid w:val="001947E7"/>
    <w:rsid w:val="001B1A33"/>
    <w:rsid w:val="001C066C"/>
    <w:rsid w:val="001C6C24"/>
    <w:rsid w:val="001D0D7B"/>
    <w:rsid w:val="001D7555"/>
    <w:rsid w:val="001F78D0"/>
    <w:rsid w:val="00214FEE"/>
    <w:rsid w:val="00225068"/>
    <w:rsid w:val="002265E7"/>
    <w:rsid w:val="00242E9B"/>
    <w:rsid w:val="00243A2E"/>
    <w:rsid w:val="002450A4"/>
    <w:rsid w:val="0024728A"/>
    <w:rsid w:val="00251DDC"/>
    <w:rsid w:val="0025635E"/>
    <w:rsid w:val="0026653A"/>
    <w:rsid w:val="00270E7F"/>
    <w:rsid w:val="00271476"/>
    <w:rsid w:val="00272A76"/>
    <w:rsid w:val="0027387C"/>
    <w:rsid w:val="0027476B"/>
    <w:rsid w:val="00285B3E"/>
    <w:rsid w:val="002A554D"/>
    <w:rsid w:val="002B0E47"/>
    <w:rsid w:val="002B1A36"/>
    <w:rsid w:val="002B40CB"/>
    <w:rsid w:val="002C3167"/>
    <w:rsid w:val="002C446A"/>
    <w:rsid w:val="002D266A"/>
    <w:rsid w:val="002D55C0"/>
    <w:rsid w:val="002D746C"/>
    <w:rsid w:val="002E017F"/>
    <w:rsid w:val="002E1902"/>
    <w:rsid w:val="002F43D0"/>
    <w:rsid w:val="002F7509"/>
    <w:rsid w:val="003054C1"/>
    <w:rsid w:val="0033050E"/>
    <w:rsid w:val="00331154"/>
    <w:rsid w:val="0033744D"/>
    <w:rsid w:val="003413D4"/>
    <w:rsid w:val="00351403"/>
    <w:rsid w:val="00362A31"/>
    <w:rsid w:val="00370800"/>
    <w:rsid w:val="00371189"/>
    <w:rsid w:val="003770E0"/>
    <w:rsid w:val="00377BA5"/>
    <w:rsid w:val="0038569A"/>
    <w:rsid w:val="00393FB7"/>
    <w:rsid w:val="00396AA9"/>
    <w:rsid w:val="003975F7"/>
    <w:rsid w:val="003A158C"/>
    <w:rsid w:val="003A238A"/>
    <w:rsid w:val="003A66D3"/>
    <w:rsid w:val="003B2B09"/>
    <w:rsid w:val="003B2CAE"/>
    <w:rsid w:val="003F40FB"/>
    <w:rsid w:val="003F5596"/>
    <w:rsid w:val="003F55DE"/>
    <w:rsid w:val="003F5698"/>
    <w:rsid w:val="004056ED"/>
    <w:rsid w:val="004405A3"/>
    <w:rsid w:val="00444E63"/>
    <w:rsid w:val="004463E9"/>
    <w:rsid w:val="00450CD8"/>
    <w:rsid w:val="0048129A"/>
    <w:rsid w:val="00483942"/>
    <w:rsid w:val="00492F5F"/>
    <w:rsid w:val="004A1E78"/>
    <w:rsid w:val="004A2A1E"/>
    <w:rsid w:val="004A7BC2"/>
    <w:rsid w:val="004B219A"/>
    <w:rsid w:val="004B3117"/>
    <w:rsid w:val="004C051D"/>
    <w:rsid w:val="004C6F28"/>
    <w:rsid w:val="004C7DDB"/>
    <w:rsid w:val="004D08A8"/>
    <w:rsid w:val="004E0FE9"/>
    <w:rsid w:val="004E1578"/>
    <w:rsid w:val="004E3A57"/>
    <w:rsid w:val="004E53FA"/>
    <w:rsid w:val="004E6360"/>
    <w:rsid w:val="004E7911"/>
    <w:rsid w:val="004F38A7"/>
    <w:rsid w:val="004F634C"/>
    <w:rsid w:val="005021CF"/>
    <w:rsid w:val="00504593"/>
    <w:rsid w:val="00515FD1"/>
    <w:rsid w:val="00524371"/>
    <w:rsid w:val="00526C59"/>
    <w:rsid w:val="00531CC2"/>
    <w:rsid w:val="00535BF7"/>
    <w:rsid w:val="00536FD6"/>
    <w:rsid w:val="00542DCC"/>
    <w:rsid w:val="00544196"/>
    <w:rsid w:val="00550C34"/>
    <w:rsid w:val="005539C1"/>
    <w:rsid w:val="005539CD"/>
    <w:rsid w:val="0055600E"/>
    <w:rsid w:val="00556A05"/>
    <w:rsid w:val="00566A73"/>
    <w:rsid w:val="00591413"/>
    <w:rsid w:val="005A21A7"/>
    <w:rsid w:val="005B3B56"/>
    <w:rsid w:val="005B49BD"/>
    <w:rsid w:val="005C1B86"/>
    <w:rsid w:val="005C1B9E"/>
    <w:rsid w:val="005C73A0"/>
    <w:rsid w:val="005E00CC"/>
    <w:rsid w:val="005E2317"/>
    <w:rsid w:val="005F4A1E"/>
    <w:rsid w:val="005F62FE"/>
    <w:rsid w:val="005F6C6F"/>
    <w:rsid w:val="00605697"/>
    <w:rsid w:val="006150AF"/>
    <w:rsid w:val="00616DE5"/>
    <w:rsid w:val="0063242D"/>
    <w:rsid w:val="00634D2A"/>
    <w:rsid w:val="00645734"/>
    <w:rsid w:val="0065294B"/>
    <w:rsid w:val="00654AAD"/>
    <w:rsid w:val="006563FC"/>
    <w:rsid w:val="00696189"/>
    <w:rsid w:val="006B5538"/>
    <w:rsid w:val="006B6317"/>
    <w:rsid w:val="006B6680"/>
    <w:rsid w:val="006B71F3"/>
    <w:rsid w:val="006C2AD0"/>
    <w:rsid w:val="006C5FDE"/>
    <w:rsid w:val="006D0DB5"/>
    <w:rsid w:val="006D71A4"/>
    <w:rsid w:val="006E4DBF"/>
    <w:rsid w:val="0070072B"/>
    <w:rsid w:val="00705E83"/>
    <w:rsid w:val="00720AF4"/>
    <w:rsid w:val="00721F2C"/>
    <w:rsid w:val="007258EF"/>
    <w:rsid w:val="00727E98"/>
    <w:rsid w:val="0073249B"/>
    <w:rsid w:val="00732B9A"/>
    <w:rsid w:val="00740996"/>
    <w:rsid w:val="00740E60"/>
    <w:rsid w:val="0074386F"/>
    <w:rsid w:val="00751D14"/>
    <w:rsid w:val="007577AE"/>
    <w:rsid w:val="00757B41"/>
    <w:rsid w:val="00764774"/>
    <w:rsid w:val="00770211"/>
    <w:rsid w:val="007934FB"/>
    <w:rsid w:val="007A1B1E"/>
    <w:rsid w:val="007B1810"/>
    <w:rsid w:val="007D3B61"/>
    <w:rsid w:val="007D6E48"/>
    <w:rsid w:val="007E35F3"/>
    <w:rsid w:val="007E4127"/>
    <w:rsid w:val="007E5230"/>
    <w:rsid w:val="007F6C6C"/>
    <w:rsid w:val="007F7E68"/>
    <w:rsid w:val="00810E84"/>
    <w:rsid w:val="008149B8"/>
    <w:rsid w:val="00823F81"/>
    <w:rsid w:val="0084309F"/>
    <w:rsid w:val="00852F47"/>
    <w:rsid w:val="008704F0"/>
    <w:rsid w:val="00880AA8"/>
    <w:rsid w:val="00882CCE"/>
    <w:rsid w:val="0088354C"/>
    <w:rsid w:val="00884C56"/>
    <w:rsid w:val="00897CED"/>
    <w:rsid w:val="008B3904"/>
    <w:rsid w:val="008B522E"/>
    <w:rsid w:val="008C3974"/>
    <w:rsid w:val="008C3ABB"/>
    <w:rsid w:val="008D630F"/>
    <w:rsid w:val="008F7B3E"/>
    <w:rsid w:val="008F7D05"/>
    <w:rsid w:val="0090274C"/>
    <w:rsid w:val="00912212"/>
    <w:rsid w:val="00912CBD"/>
    <w:rsid w:val="0092486C"/>
    <w:rsid w:val="009261F8"/>
    <w:rsid w:val="0093193A"/>
    <w:rsid w:val="0093499F"/>
    <w:rsid w:val="00952C65"/>
    <w:rsid w:val="009579A2"/>
    <w:rsid w:val="00962577"/>
    <w:rsid w:val="00962EA4"/>
    <w:rsid w:val="00963D31"/>
    <w:rsid w:val="0096781E"/>
    <w:rsid w:val="00971B23"/>
    <w:rsid w:val="00974214"/>
    <w:rsid w:val="00976466"/>
    <w:rsid w:val="009874E8"/>
    <w:rsid w:val="009A3C89"/>
    <w:rsid w:val="009A58FA"/>
    <w:rsid w:val="009B0CD5"/>
    <w:rsid w:val="009B34A8"/>
    <w:rsid w:val="009B609E"/>
    <w:rsid w:val="009B6460"/>
    <w:rsid w:val="009C42C6"/>
    <w:rsid w:val="009C7AF4"/>
    <w:rsid w:val="009C7B88"/>
    <w:rsid w:val="009D1D6B"/>
    <w:rsid w:val="009D306D"/>
    <w:rsid w:val="00A014DD"/>
    <w:rsid w:val="00A033D3"/>
    <w:rsid w:val="00A252D0"/>
    <w:rsid w:val="00A334BA"/>
    <w:rsid w:val="00A40FC6"/>
    <w:rsid w:val="00A46C37"/>
    <w:rsid w:val="00A5323E"/>
    <w:rsid w:val="00A551E4"/>
    <w:rsid w:val="00A55C13"/>
    <w:rsid w:val="00A76BF8"/>
    <w:rsid w:val="00A77980"/>
    <w:rsid w:val="00A807E7"/>
    <w:rsid w:val="00A9344D"/>
    <w:rsid w:val="00A94104"/>
    <w:rsid w:val="00A958C0"/>
    <w:rsid w:val="00A97F7D"/>
    <w:rsid w:val="00AA13D5"/>
    <w:rsid w:val="00AA5713"/>
    <w:rsid w:val="00AB27E2"/>
    <w:rsid w:val="00AC4DDE"/>
    <w:rsid w:val="00AE1E82"/>
    <w:rsid w:val="00B0254B"/>
    <w:rsid w:val="00B03944"/>
    <w:rsid w:val="00B06D69"/>
    <w:rsid w:val="00B12524"/>
    <w:rsid w:val="00B175B0"/>
    <w:rsid w:val="00B17EFE"/>
    <w:rsid w:val="00B210F4"/>
    <w:rsid w:val="00B22D50"/>
    <w:rsid w:val="00B240C0"/>
    <w:rsid w:val="00B335BE"/>
    <w:rsid w:val="00B544BE"/>
    <w:rsid w:val="00B5732C"/>
    <w:rsid w:val="00B6051A"/>
    <w:rsid w:val="00B62567"/>
    <w:rsid w:val="00B633A7"/>
    <w:rsid w:val="00B643CB"/>
    <w:rsid w:val="00B72EED"/>
    <w:rsid w:val="00B81EF1"/>
    <w:rsid w:val="00B84AE2"/>
    <w:rsid w:val="00B8506A"/>
    <w:rsid w:val="00B912F7"/>
    <w:rsid w:val="00B922B7"/>
    <w:rsid w:val="00B93EAC"/>
    <w:rsid w:val="00BB4499"/>
    <w:rsid w:val="00BB4C1C"/>
    <w:rsid w:val="00BD3DEF"/>
    <w:rsid w:val="00BD6F89"/>
    <w:rsid w:val="00BF05BB"/>
    <w:rsid w:val="00BF1F4D"/>
    <w:rsid w:val="00BF2559"/>
    <w:rsid w:val="00BF5660"/>
    <w:rsid w:val="00BF6BFC"/>
    <w:rsid w:val="00C024F1"/>
    <w:rsid w:val="00C0288F"/>
    <w:rsid w:val="00C061B7"/>
    <w:rsid w:val="00C12E3E"/>
    <w:rsid w:val="00C21635"/>
    <w:rsid w:val="00C21994"/>
    <w:rsid w:val="00C23D4C"/>
    <w:rsid w:val="00C26330"/>
    <w:rsid w:val="00C27992"/>
    <w:rsid w:val="00C30318"/>
    <w:rsid w:val="00C37583"/>
    <w:rsid w:val="00C42EC3"/>
    <w:rsid w:val="00C436AA"/>
    <w:rsid w:val="00C436F5"/>
    <w:rsid w:val="00C473CE"/>
    <w:rsid w:val="00C47EA0"/>
    <w:rsid w:val="00C50267"/>
    <w:rsid w:val="00C509BE"/>
    <w:rsid w:val="00C50BD8"/>
    <w:rsid w:val="00C57C22"/>
    <w:rsid w:val="00C62F37"/>
    <w:rsid w:val="00C661AE"/>
    <w:rsid w:val="00C74422"/>
    <w:rsid w:val="00C77892"/>
    <w:rsid w:val="00C80FC8"/>
    <w:rsid w:val="00C8228A"/>
    <w:rsid w:val="00C87847"/>
    <w:rsid w:val="00C87B83"/>
    <w:rsid w:val="00C90EA2"/>
    <w:rsid w:val="00CA0BCB"/>
    <w:rsid w:val="00CB2331"/>
    <w:rsid w:val="00CC25B3"/>
    <w:rsid w:val="00CD0E7C"/>
    <w:rsid w:val="00CF2D3D"/>
    <w:rsid w:val="00D02C52"/>
    <w:rsid w:val="00D03510"/>
    <w:rsid w:val="00D03747"/>
    <w:rsid w:val="00D359C8"/>
    <w:rsid w:val="00D42427"/>
    <w:rsid w:val="00D5312A"/>
    <w:rsid w:val="00D55B4F"/>
    <w:rsid w:val="00D5706C"/>
    <w:rsid w:val="00D64B05"/>
    <w:rsid w:val="00D66FC3"/>
    <w:rsid w:val="00D84CF3"/>
    <w:rsid w:val="00D92968"/>
    <w:rsid w:val="00D939D9"/>
    <w:rsid w:val="00D9425D"/>
    <w:rsid w:val="00D946A6"/>
    <w:rsid w:val="00D9693D"/>
    <w:rsid w:val="00DA1756"/>
    <w:rsid w:val="00DA49F4"/>
    <w:rsid w:val="00DC4258"/>
    <w:rsid w:val="00DE4844"/>
    <w:rsid w:val="00DE4A79"/>
    <w:rsid w:val="00DE6A20"/>
    <w:rsid w:val="00DE7B9D"/>
    <w:rsid w:val="00DF0D5C"/>
    <w:rsid w:val="00DF6384"/>
    <w:rsid w:val="00E01598"/>
    <w:rsid w:val="00E07E5E"/>
    <w:rsid w:val="00E1287A"/>
    <w:rsid w:val="00E15FB7"/>
    <w:rsid w:val="00E22280"/>
    <w:rsid w:val="00E22A38"/>
    <w:rsid w:val="00E26488"/>
    <w:rsid w:val="00E271A9"/>
    <w:rsid w:val="00E275C8"/>
    <w:rsid w:val="00E329BF"/>
    <w:rsid w:val="00E573D3"/>
    <w:rsid w:val="00E62606"/>
    <w:rsid w:val="00E6539B"/>
    <w:rsid w:val="00E667A9"/>
    <w:rsid w:val="00E67CC3"/>
    <w:rsid w:val="00E76CEE"/>
    <w:rsid w:val="00E91F44"/>
    <w:rsid w:val="00E97B39"/>
    <w:rsid w:val="00EA12EF"/>
    <w:rsid w:val="00EA2E70"/>
    <w:rsid w:val="00EA4834"/>
    <w:rsid w:val="00EA565A"/>
    <w:rsid w:val="00EB1A63"/>
    <w:rsid w:val="00EB49E0"/>
    <w:rsid w:val="00EB5EC2"/>
    <w:rsid w:val="00ED583D"/>
    <w:rsid w:val="00EF4056"/>
    <w:rsid w:val="00EF5470"/>
    <w:rsid w:val="00EF5B7A"/>
    <w:rsid w:val="00F1234B"/>
    <w:rsid w:val="00F170F5"/>
    <w:rsid w:val="00F208C3"/>
    <w:rsid w:val="00F22606"/>
    <w:rsid w:val="00F27199"/>
    <w:rsid w:val="00F34386"/>
    <w:rsid w:val="00F36E1A"/>
    <w:rsid w:val="00F44747"/>
    <w:rsid w:val="00F45B14"/>
    <w:rsid w:val="00F45BA5"/>
    <w:rsid w:val="00F56463"/>
    <w:rsid w:val="00F56F5A"/>
    <w:rsid w:val="00F61B84"/>
    <w:rsid w:val="00F66940"/>
    <w:rsid w:val="00F67B38"/>
    <w:rsid w:val="00F72736"/>
    <w:rsid w:val="00F921DF"/>
    <w:rsid w:val="00F966F8"/>
    <w:rsid w:val="00FA67D6"/>
    <w:rsid w:val="00FB7559"/>
    <w:rsid w:val="00FC3627"/>
    <w:rsid w:val="00FC79EA"/>
    <w:rsid w:val="00FD2A42"/>
    <w:rsid w:val="00FD2C47"/>
    <w:rsid w:val="00FF16F8"/>
    <w:rsid w:val="00FF42B0"/>
    <w:rsid w:val="00FF643E"/>
    <w:rsid w:val="00FF794C"/>
    <w:rsid w:val="00FF7D11"/>
  </w:rsids>
  <w:docVars>
    <w:docVar w:name="rox_ReferencesTo" w:val=" "/>
    <w:docVar w:name="rox_step_bearbeiter" w:val="Pfitzner, Martina - 27.02.2024 10:54:12"/>
    <w:docVar w:name="rox_step_freigeber" w:val="Böhacker, Andreas - 27.02.2024 11:36:07"/>
    <w:docVar w:name="rox_step_pruefer" w:val="Böhacker, Andreas - 27.02.2024 11:35:48"/>
  </w:docVars>
  <m:mathPr>
    <m:mathFont m:val="Cambria Math"/>
  </m:mathPr>
  <w:themeFontLang w:val="de-DE"/>
  <w:clrSchemeMapping w:bg1="light1" w:t1="dark1" w:bg2="light2" w:t2="dark2" w:accent1="accent1" w:accent2="accent2" w:accent3="accent3" w:accent4="accent4" w:accent5="accent5" w:accent6="accent6" w:hyperlink="hyperlink" w:followedHyperlink="followedHyperlink"/>
  <w14:docId w14:val="215CE930"/>
  <w15:docId w15:val="{D1E42A3B-C34C-4940-AB4C-D4224831A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2968"/>
    <w:pPr>
      <w:spacing w:after="0"/>
      <w:jc w:val="both"/>
    </w:pPr>
    <w:rPr>
      <w:rFonts w:ascii="Arial" w:hAnsi="Arial"/>
      <w:sz w:val="16"/>
    </w:rPr>
  </w:style>
  <w:style w:type="paragraph" w:styleId="Heading1">
    <w:name w:val="heading 1"/>
    <w:basedOn w:val="Normal"/>
    <w:next w:val="Normal"/>
    <w:link w:val="berschrift1Zchn"/>
    <w:autoRedefine/>
    <w:qFormat/>
    <w:rsid w:val="00D9425D"/>
    <w:pPr>
      <w:keepNext/>
      <w:numPr>
        <w:numId w:val="28"/>
      </w:numPr>
      <w:jc w:val="left"/>
      <w:outlineLvl w:val="0"/>
    </w:pPr>
    <w:rPr>
      <w:rFonts w:eastAsia="Times New Roman" w:cs="Arial"/>
      <w:b/>
      <w:bCs/>
      <w:kern w:val="32"/>
      <w:sz w:val="18"/>
      <w:szCs w:val="32"/>
      <w:lang w:eastAsia="de-DE"/>
    </w:rPr>
  </w:style>
  <w:style w:type="paragraph" w:styleId="Heading2">
    <w:name w:val="heading 2"/>
    <w:basedOn w:val="Normal"/>
    <w:next w:val="Normal"/>
    <w:link w:val="berschrift2Zchn"/>
    <w:autoRedefine/>
    <w:qFormat/>
    <w:rsid w:val="009D1D6B"/>
    <w:pPr>
      <w:keepNext/>
      <w:spacing w:after="60"/>
      <w:jc w:val="left"/>
      <w:outlineLvl w:val="1"/>
    </w:pPr>
    <w:rPr>
      <w:rFonts w:eastAsia="Times New Roman" w:cs="Times New Roman"/>
      <w:b/>
      <w:sz w:val="18"/>
      <w:szCs w:val="20"/>
      <w:lang w:eastAsia="de-DE"/>
    </w:rPr>
  </w:style>
  <w:style w:type="paragraph" w:styleId="Heading3">
    <w:name w:val="heading 3"/>
    <w:basedOn w:val="Normal"/>
    <w:next w:val="Normal"/>
    <w:link w:val="berschrift3Zchn"/>
    <w:qFormat/>
    <w:rsid w:val="00C436F5"/>
    <w:pPr>
      <w:keepNext/>
      <w:numPr>
        <w:ilvl w:val="2"/>
        <w:numId w:val="24"/>
      </w:numPr>
      <w:spacing w:after="60"/>
      <w:jc w:val="left"/>
      <w:outlineLvl w:val="2"/>
    </w:pPr>
    <w:rPr>
      <w:rFonts w:eastAsia="Times New Roman" w:cs="Arial"/>
      <w:b/>
      <w:bCs/>
      <w:szCs w:val="26"/>
      <w:lang w:eastAsia="de-DE"/>
    </w:rPr>
  </w:style>
  <w:style w:type="paragraph" w:styleId="Heading4">
    <w:name w:val="heading 4"/>
    <w:basedOn w:val="Normal"/>
    <w:next w:val="Normal"/>
    <w:link w:val="berschrift4Zchn"/>
    <w:qFormat/>
    <w:rsid w:val="00B5732C"/>
    <w:pPr>
      <w:keepNext/>
      <w:numPr>
        <w:ilvl w:val="3"/>
        <w:numId w:val="24"/>
      </w:numPr>
      <w:spacing w:after="60"/>
      <w:jc w:val="left"/>
      <w:outlineLvl w:val="3"/>
    </w:pPr>
    <w:rPr>
      <w:rFonts w:eastAsia="Times New Roman" w:cs="Times New Roman"/>
      <w:bCs/>
      <w:szCs w:val="20"/>
      <w:lang w:eastAsia="de-DE"/>
    </w:rPr>
  </w:style>
  <w:style w:type="paragraph" w:styleId="Heading5">
    <w:name w:val="heading 5"/>
    <w:basedOn w:val="Normal"/>
    <w:next w:val="Normal"/>
    <w:link w:val="berschrift5Zchn"/>
    <w:uiPriority w:val="9"/>
    <w:unhideWhenUsed/>
    <w:rsid w:val="00F72736"/>
    <w:pPr>
      <w:keepNext/>
      <w:keepLines/>
      <w:numPr>
        <w:ilvl w:val="4"/>
        <w:numId w:val="24"/>
      </w:numPr>
      <w:spacing w:after="60"/>
      <w:jc w:val="left"/>
      <w:outlineLvl w:val="4"/>
    </w:pPr>
    <w:rPr>
      <w:rFonts w:asciiTheme="majorHAnsi" w:eastAsiaTheme="majorEastAsia" w:hAnsiTheme="majorHAnsi" w:cstheme="majorBidi"/>
      <w:color w:val="000000" w:themeColor="text1"/>
    </w:rPr>
  </w:style>
  <w:style w:type="paragraph" w:styleId="Heading6">
    <w:name w:val="heading 6"/>
    <w:basedOn w:val="Normal"/>
    <w:next w:val="Normal"/>
    <w:link w:val="berschrift6Zchn"/>
    <w:uiPriority w:val="9"/>
    <w:unhideWhenUsed/>
    <w:rsid w:val="00F72736"/>
    <w:pPr>
      <w:keepNext/>
      <w:keepLines/>
      <w:numPr>
        <w:ilvl w:val="5"/>
        <w:numId w:val="24"/>
      </w:numPr>
      <w:spacing w:after="60"/>
      <w:jc w:val="left"/>
      <w:outlineLvl w:val="5"/>
    </w:pPr>
    <w:rPr>
      <w:rFonts w:asciiTheme="majorHAnsi" w:eastAsiaTheme="majorEastAsia" w:hAnsiTheme="majorHAnsi" w:cstheme="majorBidi"/>
      <w:iCs/>
      <w:color w:val="000000" w:themeColor="text1"/>
    </w:rPr>
  </w:style>
  <w:style w:type="paragraph" w:styleId="Heading7">
    <w:name w:val="heading 7"/>
    <w:basedOn w:val="Normal"/>
    <w:next w:val="Normal"/>
    <w:link w:val="berschrift7Zchn"/>
    <w:uiPriority w:val="9"/>
    <w:semiHidden/>
    <w:unhideWhenUsed/>
    <w:rsid w:val="00B84AE2"/>
    <w:pPr>
      <w:keepNext/>
      <w:keepLines/>
      <w:numPr>
        <w:ilvl w:val="6"/>
        <w:numId w:val="2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berschrift8Zchn"/>
    <w:uiPriority w:val="9"/>
    <w:semiHidden/>
    <w:unhideWhenUsed/>
    <w:qFormat/>
    <w:rsid w:val="00B84AE2"/>
    <w:pPr>
      <w:keepNext/>
      <w:keepLines/>
      <w:numPr>
        <w:ilvl w:val="7"/>
        <w:numId w:val="24"/>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berschrift9Zchn"/>
    <w:uiPriority w:val="9"/>
    <w:semiHidden/>
    <w:unhideWhenUsed/>
    <w:qFormat/>
    <w:rsid w:val="00B84AE2"/>
    <w:pPr>
      <w:keepNext/>
      <w:keepLines/>
      <w:numPr>
        <w:ilvl w:val="8"/>
        <w:numId w:val="24"/>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elZchn"/>
    <w:qFormat/>
    <w:rsid w:val="00B922B7"/>
    <w:pPr>
      <w:spacing w:before="240" w:after="60"/>
      <w:jc w:val="center"/>
      <w:outlineLvl w:val="0"/>
    </w:pPr>
    <w:rPr>
      <w:rFonts w:eastAsia="MS Gothic" w:cs="Times New Roman"/>
      <w:b/>
      <w:bCs/>
      <w:kern w:val="28"/>
      <w:sz w:val="28"/>
      <w:szCs w:val="32"/>
      <w:lang w:eastAsia="de-DE"/>
    </w:rPr>
  </w:style>
  <w:style w:type="character" w:customStyle="1" w:styleId="TitelZchn">
    <w:name w:val="Titel Zchn"/>
    <w:basedOn w:val="DefaultParagraphFont"/>
    <w:link w:val="Title"/>
    <w:rsid w:val="00B922B7"/>
    <w:rPr>
      <w:rFonts w:ascii="Arial" w:eastAsia="MS Gothic" w:hAnsi="Arial" w:cs="Times New Roman"/>
      <w:b/>
      <w:bCs/>
      <w:kern w:val="28"/>
      <w:sz w:val="28"/>
      <w:szCs w:val="32"/>
      <w:lang w:eastAsia="de-DE"/>
    </w:rPr>
  </w:style>
  <w:style w:type="paragraph" w:styleId="BalloonText">
    <w:name w:val="Balloon Text"/>
    <w:basedOn w:val="Normal"/>
    <w:link w:val="SprechblasentextZchn"/>
    <w:uiPriority w:val="99"/>
    <w:semiHidden/>
    <w:unhideWhenUsed/>
    <w:rsid w:val="00B922B7"/>
    <w:rPr>
      <w:rFonts w:ascii="Tahoma" w:hAnsi="Tahoma" w:cs="Tahoma"/>
      <w:szCs w:val="16"/>
    </w:rPr>
  </w:style>
  <w:style w:type="character" w:customStyle="1" w:styleId="SprechblasentextZchn">
    <w:name w:val="Sprechblasentext Zchn"/>
    <w:basedOn w:val="DefaultParagraphFont"/>
    <w:link w:val="BalloonText"/>
    <w:uiPriority w:val="99"/>
    <w:semiHidden/>
    <w:rsid w:val="00B922B7"/>
    <w:rPr>
      <w:rFonts w:ascii="Tahoma" w:hAnsi="Tahoma" w:cs="Tahoma"/>
      <w:sz w:val="16"/>
      <w:szCs w:val="16"/>
    </w:rPr>
  </w:style>
  <w:style w:type="paragraph" w:styleId="Header">
    <w:name w:val="header"/>
    <w:basedOn w:val="Normal"/>
    <w:link w:val="KopfzeileZchn"/>
    <w:uiPriority w:val="99"/>
    <w:unhideWhenUsed/>
    <w:rsid w:val="00B922B7"/>
    <w:pPr>
      <w:tabs>
        <w:tab w:val="center" w:pos="4536"/>
        <w:tab w:val="right" w:pos="9072"/>
      </w:tabs>
    </w:pPr>
  </w:style>
  <w:style w:type="character" w:customStyle="1" w:styleId="KopfzeileZchn">
    <w:name w:val="Kopfzeile Zchn"/>
    <w:basedOn w:val="DefaultParagraphFont"/>
    <w:link w:val="Header"/>
    <w:uiPriority w:val="99"/>
    <w:rsid w:val="00B922B7"/>
  </w:style>
  <w:style w:type="paragraph" w:styleId="Footer">
    <w:name w:val="footer"/>
    <w:basedOn w:val="Normal"/>
    <w:link w:val="FuzeileZchn"/>
    <w:unhideWhenUsed/>
    <w:rsid w:val="00B922B7"/>
    <w:pPr>
      <w:tabs>
        <w:tab w:val="center" w:pos="4536"/>
        <w:tab w:val="right" w:pos="9072"/>
      </w:tabs>
    </w:pPr>
  </w:style>
  <w:style w:type="character" w:customStyle="1" w:styleId="FuzeileZchn">
    <w:name w:val="Fußzeile Zchn"/>
    <w:basedOn w:val="DefaultParagraphFont"/>
    <w:link w:val="Footer"/>
    <w:uiPriority w:val="99"/>
    <w:rsid w:val="00B922B7"/>
  </w:style>
  <w:style w:type="table" w:styleId="TableGrid">
    <w:name w:val="Table Grid"/>
    <w:basedOn w:val="TableNormal"/>
    <w:rsid w:val="00B922B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TableNormal"/>
    <w:next w:val="TableGrid"/>
    <w:rsid w:val="005F62FE"/>
    <w:pPr>
      <w:spacing w:after="0"/>
    </w:pPr>
    <w:rPr>
      <w:rFonts w:ascii="Arial" w:eastAsia="Times New Roman"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DefaultParagraphFont"/>
    <w:link w:val="Heading1"/>
    <w:rsid w:val="00D9425D"/>
    <w:rPr>
      <w:rFonts w:ascii="Arial" w:eastAsia="Times New Roman" w:hAnsi="Arial" w:cs="Arial"/>
      <w:b/>
      <w:bCs/>
      <w:kern w:val="32"/>
      <w:sz w:val="18"/>
      <w:szCs w:val="32"/>
      <w:lang w:eastAsia="de-DE"/>
    </w:rPr>
  </w:style>
  <w:style w:type="paragraph" w:styleId="ListParagraph">
    <w:name w:val="List Paragraph"/>
    <w:basedOn w:val="Normal"/>
    <w:uiPriority w:val="34"/>
    <w:qFormat/>
    <w:rsid w:val="00B84AE2"/>
    <w:pPr>
      <w:ind w:left="720"/>
      <w:contextualSpacing/>
    </w:pPr>
  </w:style>
  <w:style w:type="character" w:customStyle="1" w:styleId="berschrift2Zchn">
    <w:name w:val="Überschrift 2 Zchn"/>
    <w:link w:val="Heading2"/>
    <w:rsid w:val="009D1D6B"/>
    <w:rPr>
      <w:rFonts w:ascii="Arial" w:eastAsia="Times New Roman" w:hAnsi="Arial" w:cs="Times New Roman"/>
      <w:b/>
      <w:sz w:val="18"/>
      <w:szCs w:val="20"/>
      <w:lang w:eastAsia="de-DE"/>
    </w:rPr>
  </w:style>
  <w:style w:type="character" w:customStyle="1" w:styleId="berschrift3Zchn">
    <w:name w:val="Überschrift 3 Zchn"/>
    <w:basedOn w:val="DefaultParagraphFont"/>
    <w:link w:val="Heading3"/>
    <w:rsid w:val="00C436F5"/>
    <w:rPr>
      <w:rFonts w:ascii="Arial" w:eastAsia="Times New Roman" w:hAnsi="Arial" w:cs="Arial"/>
      <w:b/>
      <w:bCs/>
      <w:sz w:val="16"/>
      <w:szCs w:val="26"/>
      <w:lang w:eastAsia="de-DE"/>
    </w:rPr>
  </w:style>
  <w:style w:type="character" w:customStyle="1" w:styleId="berschrift4Zchn">
    <w:name w:val="Überschrift 4 Zchn"/>
    <w:link w:val="Heading4"/>
    <w:rsid w:val="00B5732C"/>
    <w:rPr>
      <w:rFonts w:ascii="Arial" w:eastAsia="Times New Roman" w:hAnsi="Arial" w:cs="Times New Roman"/>
      <w:bCs/>
      <w:sz w:val="16"/>
      <w:szCs w:val="20"/>
      <w:lang w:eastAsia="de-DE"/>
    </w:rPr>
  </w:style>
  <w:style w:type="character" w:customStyle="1" w:styleId="berschrift5Zchn">
    <w:name w:val="Überschrift 5 Zchn"/>
    <w:basedOn w:val="DefaultParagraphFont"/>
    <w:link w:val="Heading5"/>
    <w:uiPriority w:val="9"/>
    <w:rsid w:val="00F72736"/>
    <w:rPr>
      <w:rFonts w:asciiTheme="majorHAnsi" w:eastAsiaTheme="majorEastAsia" w:hAnsiTheme="majorHAnsi" w:cstheme="majorBidi"/>
      <w:color w:val="000000" w:themeColor="text1"/>
      <w:sz w:val="16"/>
    </w:rPr>
  </w:style>
  <w:style w:type="character" w:customStyle="1" w:styleId="berschrift6Zchn">
    <w:name w:val="Überschrift 6 Zchn"/>
    <w:basedOn w:val="DefaultParagraphFont"/>
    <w:link w:val="Heading6"/>
    <w:uiPriority w:val="9"/>
    <w:rsid w:val="00F72736"/>
    <w:rPr>
      <w:rFonts w:asciiTheme="majorHAnsi" w:eastAsiaTheme="majorEastAsia" w:hAnsiTheme="majorHAnsi" w:cstheme="majorBidi"/>
      <w:iCs/>
      <w:color w:val="000000" w:themeColor="text1"/>
      <w:sz w:val="16"/>
    </w:rPr>
  </w:style>
  <w:style w:type="character" w:customStyle="1" w:styleId="berschrift7Zchn">
    <w:name w:val="Überschrift 7 Zchn"/>
    <w:basedOn w:val="DefaultParagraphFont"/>
    <w:link w:val="Heading7"/>
    <w:uiPriority w:val="9"/>
    <w:semiHidden/>
    <w:rsid w:val="00B84AE2"/>
    <w:rPr>
      <w:rFonts w:asciiTheme="majorHAnsi" w:eastAsiaTheme="majorEastAsia" w:hAnsiTheme="majorHAnsi" w:cstheme="majorBidi"/>
      <w:i/>
      <w:iCs/>
      <w:color w:val="404040" w:themeColor="text1" w:themeTint="BF"/>
      <w:sz w:val="16"/>
    </w:rPr>
  </w:style>
  <w:style w:type="character" w:customStyle="1" w:styleId="berschrift8Zchn">
    <w:name w:val="Überschrift 8 Zchn"/>
    <w:basedOn w:val="DefaultParagraphFont"/>
    <w:link w:val="Heading8"/>
    <w:uiPriority w:val="9"/>
    <w:semiHidden/>
    <w:rsid w:val="00B84AE2"/>
    <w:rPr>
      <w:rFonts w:asciiTheme="majorHAnsi" w:eastAsiaTheme="majorEastAsia" w:hAnsiTheme="majorHAnsi" w:cstheme="majorBidi"/>
      <w:color w:val="404040" w:themeColor="text1" w:themeTint="BF"/>
      <w:sz w:val="16"/>
      <w:szCs w:val="20"/>
    </w:rPr>
  </w:style>
  <w:style w:type="character" w:customStyle="1" w:styleId="berschrift9Zchn">
    <w:name w:val="Überschrift 9 Zchn"/>
    <w:basedOn w:val="DefaultParagraphFont"/>
    <w:link w:val="Heading9"/>
    <w:uiPriority w:val="9"/>
    <w:semiHidden/>
    <w:rsid w:val="00B84AE2"/>
    <w:rPr>
      <w:rFonts w:asciiTheme="majorHAnsi" w:eastAsiaTheme="majorEastAsia" w:hAnsiTheme="majorHAnsi" w:cstheme="majorBidi"/>
      <w:i/>
      <w:iCs/>
      <w:color w:val="404040" w:themeColor="text1" w:themeTint="BF"/>
      <w:sz w:val="16"/>
      <w:szCs w:val="20"/>
    </w:rPr>
  </w:style>
  <w:style w:type="numbering" w:customStyle="1" w:styleId="berschrift1Dokumente">
    <w:name w:val="Überschrift 1 Dokumente"/>
    <w:basedOn w:val="NoList"/>
    <w:uiPriority w:val="99"/>
    <w:rsid w:val="00F44747"/>
    <w:pPr>
      <w:numPr>
        <w:numId w:val="10"/>
      </w:numPr>
    </w:pPr>
  </w:style>
  <w:style w:type="paragraph" w:styleId="TOC1">
    <w:name w:val="toc 1"/>
    <w:basedOn w:val="Normal"/>
    <w:next w:val="Normal"/>
    <w:autoRedefine/>
    <w:uiPriority w:val="39"/>
    <w:unhideWhenUsed/>
    <w:qFormat/>
    <w:rsid w:val="00B06D69"/>
    <w:pPr>
      <w:tabs>
        <w:tab w:val="left" w:pos="567"/>
        <w:tab w:val="right" w:leader="dot" w:pos="9679"/>
      </w:tabs>
      <w:spacing w:before="120"/>
    </w:pPr>
    <w:rPr>
      <w:rFonts w:asciiTheme="majorHAnsi" w:eastAsiaTheme="minorEastAsia" w:hAnsiTheme="majorHAnsi"/>
      <w:bCs/>
      <w:noProof/>
      <w:sz w:val="22"/>
      <w:lang w:eastAsia="de-DE"/>
    </w:rPr>
  </w:style>
  <w:style w:type="paragraph" w:styleId="TOC4">
    <w:name w:val="toc 4"/>
    <w:basedOn w:val="Normal"/>
    <w:next w:val="Normal"/>
    <w:autoRedefine/>
    <w:uiPriority w:val="39"/>
    <w:unhideWhenUsed/>
    <w:rsid w:val="00EF5470"/>
    <w:pPr>
      <w:tabs>
        <w:tab w:val="left" w:pos="1276"/>
        <w:tab w:val="right" w:leader="dot" w:pos="9679"/>
      </w:tabs>
      <w:spacing w:before="60"/>
      <w:ind w:left="426"/>
    </w:pPr>
    <w:rPr>
      <w:rFonts w:asciiTheme="minorHAnsi" w:hAnsiTheme="minorHAnsi" w:cstheme="minorHAnsi"/>
      <w:szCs w:val="20"/>
    </w:rPr>
  </w:style>
  <w:style w:type="paragraph" w:styleId="TOC2">
    <w:name w:val="toc 2"/>
    <w:basedOn w:val="Normal"/>
    <w:next w:val="Normal"/>
    <w:autoRedefine/>
    <w:uiPriority w:val="39"/>
    <w:unhideWhenUsed/>
    <w:qFormat/>
    <w:rsid w:val="00B06D69"/>
    <w:pPr>
      <w:tabs>
        <w:tab w:val="left" w:pos="709"/>
        <w:tab w:val="right" w:leader="dot" w:pos="9679"/>
      </w:tabs>
      <w:spacing w:before="60"/>
      <w:ind w:left="142"/>
    </w:pPr>
    <w:rPr>
      <w:rFonts w:asciiTheme="minorHAnsi" w:hAnsiTheme="minorHAnsi" w:cstheme="minorHAnsi"/>
      <w:bCs/>
      <w:szCs w:val="20"/>
    </w:rPr>
  </w:style>
  <w:style w:type="paragraph" w:styleId="TOC3">
    <w:name w:val="toc 3"/>
    <w:basedOn w:val="Normal"/>
    <w:next w:val="Normal"/>
    <w:autoRedefine/>
    <w:uiPriority w:val="39"/>
    <w:unhideWhenUsed/>
    <w:qFormat/>
    <w:rsid w:val="00B06D69"/>
    <w:pPr>
      <w:tabs>
        <w:tab w:val="left" w:pos="851"/>
        <w:tab w:val="right" w:leader="dot" w:pos="9679"/>
      </w:tabs>
      <w:spacing w:before="60"/>
      <w:ind w:left="284"/>
    </w:pPr>
    <w:rPr>
      <w:rFonts w:asciiTheme="minorHAnsi" w:hAnsiTheme="minorHAnsi" w:cstheme="minorHAnsi"/>
      <w:szCs w:val="20"/>
    </w:rPr>
  </w:style>
  <w:style w:type="character" w:styleId="Hyperlink">
    <w:name w:val="Hyperlink"/>
    <w:basedOn w:val="DefaultParagraphFont"/>
    <w:uiPriority w:val="99"/>
    <w:unhideWhenUsed/>
    <w:rsid w:val="00740996"/>
    <w:rPr>
      <w:color w:val="0000FF" w:themeColor="hyperlink"/>
      <w:u w:val="single"/>
    </w:rPr>
  </w:style>
  <w:style w:type="paragraph" w:styleId="TOCHeading">
    <w:name w:val="TOC Heading"/>
    <w:basedOn w:val="Heading1"/>
    <w:next w:val="Normal"/>
    <w:uiPriority w:val="39"/>
    <w:unhideWhenUsed/>
    <w:qFormat/>
    <w:rsid w:val="00963D31"/>
    <w:pPr>
      <w:keepLines/>
      <w:numPr>
        <w:numId w:val="0"/>
      </w:numPr>
      <w:spacing w:before="480" w:line="276" w:lineRule="auto"/>
      <w:outlineLvl w:val="9"/>
    </w:pPr>
    <w:rPr>
      <w:rFonts w:eastAsiaTheme="majorEastAsia" w:cstheme="majorBidi"/>
      <w:kern w:val="0"/>
      <w:szCs w:val="28"/>
    </w:rPr>
  </w:style>
  <w:style w:type="paragraph" w:styleId="TOC5">
    <w:name w:val="toc 5"/>
    <w:basedOn w:val="Normal"/>
    <w:next w:val="Normal"/>
    <w:autoRedefine/>
    <w:uiPriority w:val="39"/>
    <w:unhideWhenUsed/>
    <w:rsid w:val="005E00CC"/>
    <w:pPr>
      <w:spacing w:before="60"/>
      <w:ind w:left="601"/>
    </w:pPr>
    <w:rPr>
      <w:rFonts w:asciiTheme="minorHAnsi" w:hAnsiTheme="minorHAnsi" w:cstheme="minorHAnsi"/>
      <w:szCs w:val="20"/>
    </w:rPr>
  </w:style>
  <w:style w:type="paragraph" w:styleId="TOC6">
    <w:name w:val="toc 6"/>
    <w:basedOn w:val="Normal"/>
    <w:next w:val="Normal"/>
    <w:autoRedefine/>
    <w:uiPriority w:val="39"/>
    <w:unhideWhenUsed/>
    <w:rsid w:val="005E00CC"/>
    <w:pPr>
      <w:spacing w:before="60"/>
      <w:ind w:left="799"/>
    </w:pPr>
    <w:rPr>
      <w:rFonts w:asciiTheme="minorHAnsi" w:hAnsiTheme="minorHAnsi" w:cstheme="minorHAnsi"/>
      <w:szCs w:val="20"/>
    </w:rPr>
  </w:style>
  <w:style w:type="paragraph" w:styleId="TOC7">
    <w:name w:val="toc 7"/>
    <w:basedOn w:val="Normal"/>
    <w:next w:val="Normal"/>
    <w:autoRedefine/>
    <w:uiPriority w:val="39"/>
    <w:unhideWhenUsed/>
    <w:rsid w:val="008149B8"/>
    <w:pPr>
      <w:ind w:left="1000"/>
    </w:pPr>
    <w:rPr>
      <w:rFonts w:asciiTheme="minorHAnsi" w:hAnsiTheme="minorHAnsi" w:cstheme="minorHAnsi"/>
      <w:szCs w:val="20"/>
    </w:rPr>
  </w:style>
  <w:style w:type="paragraph" w:styleId="TOC8">
    <w:name w:val="toc 8"/>
    <w:basedOn w:val="Normal"/>
    <w:next w:val="Normal"/>
    <w:autoRedefine/>
    <w:uiPriority w:val="39"/>
    <w:unhideWhenUsed/>
    <w:rsid w:val="008149B8"/>
    <w:pPr>
      <w:ind w:left="1200"/>
    </w:pPr>
    <w:rPr>
      <w:rFonts w:asciiTheme="minorHAnsi" w:hAnsiTheme="minorHAnsi" w:cstheme="minorHAnsi"/>
      <w:szCs w:val="20"/>
    </w:rPr>
  </w:style>
  <w:style w:type="paragraph" w:styleId="TOC9">
    <w:name w:val="toc 9"/>
    <w:basedOn w:val="Normal"/>
    <w:next w:val="Normal"/>
    <w:autoRedefine/>
    <w:uiPriority w:val="39"/>
    <w:unhideWhenUsed/>
    <w:rsid w:val="008149B8"/>
    <w:pPr>
      <w:ind w:left="1400"/>
    </w:pPr>
    <w:rPr>
      <w:rFonts w:asciiTheme="minorHAnsi" w:hAnsiTheme="minorHAnsi" w:cstheme="minorHAnsi"/>
      <w:szCs w:val="20"/>
    </w:rPr>
  </w:style>
  <w:style w:type="table" w:customStyle="1" w:styleId="Tabellenraster2">
    <w:name w:val="Tabellenraster2"/>
    <w:basedOn w:val="TableNormal"/>
    <w:next w:val="TableGrid"/>
    <w:rsid w:val="00F67B38"/>
    <w:pPr>
      <w:spacing w:after="0"/>
    </w:pPr>
    <w:rPr>
      <w:rFonts w:ascii="Arial" w:hAnsi="Arial"/>
      <w:sz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paragraph" w:customStyle="1" w:styleId="Kopf-undFuzeile">
    <w:name w:val="Kopf- und Fußzeile"/>
    <w:basedOn w:val="Header"/>
    <w:uiPriority w:val="11"/>
    <w:qFormat/>
    <w:rsid w:val="00F67B38"/>
    <w:pPr>
      <w:jc w:val="center"/>
    </w:pPr>
  </w:style>
  <w:style w:type="paragraph" w:styleId="Quote">
    <w:name w:val="Quote"/>
    <w:basedOn w:val="Normal"/>
    <w:next w:val="Normal"/>
    <w:link w:val="ZitatZchn"/>
    <w:uiPriority w:val="29"/>
    <w:rsid w:val="0038569A"/>
    <w:rPr>
      <w:i/>
      <w:iCs/>
      <w:color w:val="000000" w:themeColor="text1"/>
    </w:rPr>
  </w:style>
  <w:style w:type="character" w:customStyle="1" w:styleId="ZitatZchn">
    <w:name w:val="Zitat Zchn"/>
    <w:basedOn w:val="DefaultParagraphFont"/>
    <w:link w:val="Quote"/>
    <w:uiPriority w:val="29"/>
    <w:rsid w:val="0038569A"/>
    <w:rPr>
      <w:rFonts w:ascii="Arial" w:hAnsi="Arial"/>
      <w:i/>
      <w:iCs/>
      <w:color w:val="000000" w:themeColor="text1"/>
      <w:sz w:val="20"/>
    </w:rPr>
  </w:style>
  <w:style w:type="character" w:styleId="CommentReference">
    <w:name w:val="annotation reference"/>
    <w:basedOn w:val="DefaultParagraphFont"/>
    <w:uiPriority w:val="99"/>
    <w:semiHidden/>
    <w:unhideWhenUsed/>
    <w:rsid w:val="00F72736"/>
    <w:rPr>
      <w:sz w:val="16"/>
      <w:szCs w:val="16"/>
    </w:rPr>
  </w:style>
  <w:style w:type="paragraph" w:styleId="CommentText">
    <w:name w:val="annotation text"/>
    <w:basedOn w:val="Normal"/>
    <w:link w:val="KommentartextZchn"/>
    <w:uiPriority w:val="99"/>
    <w:semiHidden/>
    <w:unhideWhenUsed/>
    <w:rsid w:val="00F72736"/>
    <w:rPr>
      <w:szCs w:val="20"/>
    </w:rPr>
  </w:style>
  <w:style w:type="character" w:customStyle="1" w:styleId="KommentartextZchn">
    <w:name w:val="Kommentartext Zchn"/>
    <w:basedOn w:val="DefaultParagraphFont"/>
    <w:link w:val="CommentText"/>
    <w:uiPriority w:val="99"/>
    <w:semiHidden/>
    <w:rsid w:val="00F72736"/>
    <w:rPr>
      <w:rFonts w:ascii="Arial" w:hAnsi="Arial"/>
      <w:sz w:val="20"/>
      <w:szCs w:val="20"/>
    </w:rPr>
  </w:style>
  <w:style w:type="paragraph" w:styleId="CommentSubject">
    <w:name w:val="annotation subject"/>
    <w:basedOn w:val="CommentText"/>
    <w:next w:val="CommentText"/>
    <w:link w:val="KommentarthemaZchn"/>
    <w:uiPriority w:val="99"/>
    <w:semiHidden/>
    <w:unhideWhenUsed/>
    <w:rsid w:val="00F72736"/>
    <w:rPr>
      <w:b/>
      <w:bCs/>
    </w:rPr>
  </w:style>
  <w:style w:type="character" w:customStyle="1" w:styleId="KommentarthemaZchn">
    <w:name w:val="Kommentarthema Zchn"/>
    <w:basedOn w:val="KommentartextZchn"/>
    <w:link w:val="CommentSubject"/>
    <w:uiPriority w:val="99"/>
    <w:semiHidden/>
    <w:rsid w:val="00F72736"/>
    <w:rPr>
      <w:rFonts w:ascii="Arial" w:hAnsi="Arial"/>
      <w:b/>
      <w:bCs/>
      <w:sz w:val="20"/>
      <w:szCs w:val="20"/>
    </w:rPr>
  </w:style>
  <w:style w:type="paragraph" w:customStyle="1" w:styleId="Blautext">
    <w:name w:val="Blautext"/>
    <w:basedOn w:val="Normal"/>
    <w:link w:val="BlautextZchn"/>
    <w:rsid w:val="0048129A"/>
    <w:pPr>
      <w:tabs>
        <w:tab w:val="left" w:pos="1418"/>
      </w:tabs>
    </w:pPr>
    <w:rPr>
      <w:rFonts w:cs="Arial"/>
      <w:vanish/>
      <w:color w:val="0000FF"/>
      <w:szCs w:val="20"/>
    </w:rPr>
  </w:style>
  <w:style w:type="character" w:customStyle="1" w:styleId="BlautextZchn">
    <w:name w:val="Blautext Zchn"/>
    <w:basedOn w:val="DefaultParagraphFont"/>
    <w:link w:val="Blautext"/>
    <w:rsid w:val="0048129A"/>
    <w:rPr>
      <w:rFonts w:ascii="Arial" w:hAnsi="Arial" w:cs="Arial"/>
      <w:vanish/>
      <w:color w:val="0000FF"/>
      <w:sz w:val="20"/>
      <w:szCs w:val="20"/>
    </w:rPr>
  </w:style>
  <w:style w:type="table" w:customStyle="1" w:styleId="Tabellenraster3">
    <w:name w:val="Tabellenraster3"/>
    <w:basedOn w:val="TableNormal"/>
    <w:next w:val="TableGrid"/>
    <w:rsid w:val="00EA565A"/>
    <w:pPr>
      <w:spacing w:after="0"/>
    </w:pPr>
    <w:rPr>
      <w:rFonts w:ascii="Arial" w:hAnsi="Arial"/>
      <w:sz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character" w:styleId="Strong">
    <w:name w:val="Strong"/>
    <w:aliases w:val="11 pt,Standard + Arial,Unterschneidung abStandard"/>
    <w:basedOn w:val="DefaultParagraphFont"/>
    <w:uiPriority w:val="99"/>
    <w:qFormat/>
    <w:rsid w:val="00D92968"/>
    <w:rPr>
      <w:rFonts w:ascii="Times New Roman" w:hAnsi="Times New Roman" w:cs="Times New Roman" w:hint="default"/>
    </w:rPr>
  </w:style>
  <w:style w:type="paragraph" w:customStyle="1" w:styleId="Default">
    <w:name w:val="Default"/>
    <w:rsid w:val="00D92968"/>
    <w:pPr>
      <w:autoSpaceDE w:val="0"/>
      <w:autoSpaceDN w:val="0"/>
      <w:adjustRightInd w:val="0"/>
      <w:spacing w:after="0"/>
    </w:pPr>
    <w:rPr>
      <w:rFonts w:ascii="Arial" w:hAnsi="Arial" w:eastAsiaTheme="minorEastAsia" w:cs="Arial"/>
      <w:color w:val="000000"/>
      <w:sz w:val="24"/>
      <w:szCs w:val="24"/>
      <w:lang w:eastAsia="de-DE"/>
    </w:rPr>
  </w:style>
  <w:style w:type="paragraph" w:styleId="Revision">
    <w:name w:val="Revision"/>
    <w:hidden/>
    <w:uiPriority w:val="99"/>
    <w:semiHidden/>
    <w:rsid w:val="002265E7"/>
    <w:pPr>
      <w:spacing w:after="0"/>
    </w:pPr>
    <w:rPr>
      <w:rFonts w:ascii="Arial"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mdc-ce.roxtra.com/Roxtra/doc/showfile.aspx?fileid=395" TargetMode="External" /><Relationship Id="rId6" Type="http://schemas.openxmlformats.org/officeDocument/2006/relationships/hyperlink" Target="https://mdc-ce.roxtra.com/Roxtra/doc/showfile.aspx?FileID=401" TargetMode="External" /><Relationship Id="rId7" Type="http://schemas.openxmlformats.org/officeDocument/2006/relationships/hyperlink" Target="https://mdc-ce.roxtra.com/Roxtra/doc/showfile.aspx?FileID=561" TargetMode="External" /><Relationship Id="rId8" Type="http://schemas.openxmlformats.org/officeDocument/2006/relationships/hyperlink" Target="https://mdc-ce.roxtra.com/Roxtra/doc/showfile.aspx?FileID=2013" TargetMode="External" /><Relationship Id="rId9" Type="http://schemas.openxmlformats.org/officeDocument/2006/relationships/hyperlink" Target="http://www.gkv-datenaustausch.de"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213DF-E6A5-43C3-86F4-D09B81121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2587</Words>
  <Characters>16299</Characters>
  <Application>Microsoft Office Word</Application>
  <DocSecurity>0</DocSecurity>
  <Lines>135</Lines>
  <Paragraphs>37</Paragraphs>
  <ScaleCrop>false</ScaleCrop>
  <HeadingPairs>
    <vt:vector size="2" baseType="variant">
      <vt:variant>
        <vt:lpstr>Titel</vt:lpstr>
      </vt:variant>
      <vt:variant>
        <vt:i4>1</vt:i4>
      </vt:variant>
    </vt:vector>
  </HeadingPairs>
  <TitlesOfParts>
    <vt:vector size="1" baseType="lpstr">
      <vt:lpstr>Verfahrensbeschreibung Präqualifizierung</vt:lpstr>
    </vt:vector>
  </TitlesOfParts>
  <Company/>
  <LinksUpToDate>false</LinksUpToDate>
  <CharactersWithSpaces>18849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Verfahrensbeschreibung Präqualifizierung</dc:title>
  <dc:creator>Bettina Weinmann</dc:creator>
  <dc:description>Rev. 012 (Anpassung CAPA Beschwerde Santec4you, V1 internes Audit 2022) 
- Inhaltliche Änderung erfolgte im ersten Durchlauf durch JMO (Bearbeiter) und TL (Prüfer). MPF/ ABO haben lediglich die Revision im Dateinamen korrigiert.2024-02-27/MPF
Unter Pkt. 2.2 ergänzt: 
- eigenverantwortlich, fristgerecht
 mdc ermöglicht allen Kunden die Unterlagen elektronisch per Upload link einzureichen. Die elektronische Einreichung über externe Fremdsysteme ist ausgeschlossen./JMO
Rev.011 (wg. Anpassung in ID 3179 aus Nachforderung DAkkS-Begutachtung 2023; KLE4, Teil 2)
Pkt. 2.7 - Anforderungen zu Bildnachweisen in den Überwachungen geändert:
- zur 1. Überwachung werden die ersten 50% der räumlichen und der sachlichen Anforderungen  und zur 2. Überwachung (bei nicht begehungspflichtigen Versorgungsbereichen) die zweiten 50% der räumlichen und sachlichen  Anforderungen angefordert
Pkt 2.3 - redaktionelle Änderungen:
 - zweiten Absatz entfernt, da dieser versehentlich aus einem Entwurf dort verblieben war
2023-12-21/MPF
Rev.010 (Internes Audit PQ 2022, H2 und DAkkS-Begutachtung 2023; KLE1, Teil 3, Pkt.1+2
- unter Einleitung: Änderung Verfahrensanweisung auf Verfahrensbeschreibung und Aufnahme der Verfahrensgrundlage (vorher unter Verfahrensschritte)
- Verantwortlichkeiten entnommen, in Beschreibung nicht erforderlich
- Verfahrensschritte neu strukturiert und nummeriert, Vorbereitung entnommen, Erläuterungen zu Scopes hinzugefügt (DAkkS-Begutachtung 2023; KLE1, Teil 3, Pkt.1) und Konkretisierung Geltungsbereich (Internes Audit PQ 2022, H2)
- unter 2.2 Einfügung "ebenfalls" im letztem Satz vor "die Bewertung veranlasst" aufgrund Hinweis von M.Stöhr vom 16.03.23 zu Abw. STÖ2 aus DAkkS-Begutachtung 2022
- unter 2.3 Korrektur der Vorgehensweise bei Nichtkonformitäten im Zuge der Bewertung (KLE1, Teil 3, Pkt.2)
- unter 2.7 Konkretisierung, dass in der 1. Überwachung alle räumlichen und in der 2. Überwachung alle sachlichen Anforderungen per Fotodokumentation nachgewiesen werden müssen (KLE4, Punkt 1)
- Ausgabestand des Doks IAF MD2 gelöscht
2023-06-13, MPF
Rev.009
- aufgrund von Nachfragen der DAkkS Kap. 3.2 und Kap 10 noch einmal nachgeschärft (STÖ2+3, DAkkS Begut. 2022)
-&gt;3.2:  beschrieben was passiert, wenn Unterlagen nicht vollständig sind
-&gt; 10: Transfer von Zertifikaten genauer beschrieben (kann ohne Begehung durchgeführt werden)
- DAkkS 71 SD 6014 gelöscht, da Dokument zurückgezogen,  IAF MD 2 mit Ausgabestand angegeben
Rev.008
DAkkS Abweichung STÖ2,  Begutachtung 2022:
- Zusammenführung mit ID 1929 incl. Ergänzung und Konkretisierung der Anforderungen und Aktualisierung von Begrifflichkeiten. -&gt; v.a. Kap. 3.2 Evaluierung
DAkkS Abweichung STÖ3,  Begutachtung 2022:
- Streichung der Ausnahmeregelung für Rückdatierung von Zertifikaten (Kap. 3.5)
(- Reihenfolge der Angaben für das Zertifikat angepasst)
- Regelung, dass ausschließlich Ltg. u. Stv. der PQS für B/E autorisiert sind wurde gestrichen (Hinweis 2 zu STÖ3)
- Korrekturmaßnahme zur Behebung d. CAPA 2021-08-04
- Übernahme der PA zur Prozessverbesserung aus ID 1929 unter 4.3
MPF, 2022-05-04
- Dok.typ von PB auf Dokument umgestellt werden, da dies auf der Webseite auch dem Kunden zur Verfügung gestellt wird -&gt; entsprechend den anderen Antragsdokumenten in 2 spaltig formatiert
- Kap. 8 -&gt; Aufzählungen gelöscht
Rev.007
Ergänzung nach Abweichung BAR 3/Begutachtung 02/2021
- Ausschluss der Option zum Verzicht auf die 2. BB bei Überwachungen ergänzt
- Frist zum Versand der Daten an den GKV nach Beendigung von PQ's
Rev.006 
- Ergänzung Punkt 6 Überwachung Punkt 4.4.3 Regelung zur Rückdatierung von Zertifikaten ergänzt
Rev.005 
- 4.2.4 gestrichen und in 4.3. integriert, Punkt 4.4.1 präziziert, Redundanzen zu 4.3. gestrichen, Punkt 6: Klarstellung: "berwachung auch abhängig vom LE (Forderung der DAKKS vom 27.12.2018)
Rev.004 
- Evaluation, Bewertung, Entscheidung neu gefasst; Überschriften Entscheidung, Dokumenation geändert / antelle Zertifizierungsstelle Präqualifizierungsstelle eingefügt
JMO/09.07.18 - 4.4.2 zweiten Satz redaktionell geändert / Beschwerdeverfahren PQ gestrichen / Bearbeitung von Beschwerden und Einsprüchen aufgenommen
JMO/03.04.2018 - 4.2.3 Antragseingang / -bewertung neu gefasst; 6. Überwachung+4.3 - präzisiert wann Betriebsbegehungen erforderlich sind</dc:description>
  <cp:lastModifiedBy>Martina Pfitzner</cp:lastModifiedBy>
  <cp:revision>13</cp:revision>
  <dcterms:created xsi:type="dcterms:W3CDTF">2023-06-05T07:58:00Z</dcterms:created>
  <dcterms:modified xsi:type="dcterms:W3CDTF">2024-02-27T09:44:00Z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ox_Bereichszuordnung">
    <vt:lpwstr>SPQ - PQ</vt:lpwstr>
  </property>
  <property fmtid="{D5CDD505-2E9C-101B-9397-08002B2CF9AE}" pid="3" name="rox_Description">
    <vt:lpwstr>Rev. 012 (Anpassung CAPA Beschwerde Santec4you, V1 internes Audit 2022) 
- Inhaltliche Änderung erfolgte im ersten Durchlauf du</vt:lpwstr>
  </property>
  <property fmtid="{D5CDD505-2E9C-101B-9397-08002B2CF9AE}" pid="4" name="rox_Description_10">
    <vt:lpwstr>hrensanweisung auf Verfahrensbeschreibung und Aufnahme der Verfahrensgrundlage (vorher unter Verfahrensschritte)
- Verantwortli</vt:lpwstr>
  </property>
  <property fmtid="{D5CDD505-2E9C-101B-9397-08002B2CF9AE}" pid="5" name="rox_Description_11">
    <vt:lpwstr>chkeiten entnommen, in Beschreibung nicht erforderlich
- Verfahrensschritte neu strukturiert und nummeriert, Vorbereitung entno</vt:lpwstr>
  </property>
  <property fmtid="{D5CDD505-2E9C-101B-9397-08002B2CF9AE}" pid="6" name="rox_Description_12">
    <vt:lpwstr>mmen, Erläuterungen zu Scopes hinzugefügt (DAkkS-Begutachtung 2023; KLE1, Teil 3, Pkt.1) und Konkretisierung Geltungsbereich (I</vt:lpwstr>
  </property>
  <property fmtid="{D5CDD505-2E9C-101B-9397-08002B2CF9AE}" pid="7" name="rox_Description_13">
    <vt:lpwstr>nternes Audit PQ 2022, H2)
- unter 2.2 Einfügung "ebenfalls" im letztem Satz vor "die Bewertung veranlasst" aufgrund Hinweis vo</vt:lpwstr>
  </property>
  <property fmtid="{D5CDD505-2E9C-101B-9397-08002B2CF9AE}" pid="8" name="rox_Description_14">
    <vt:lpwstr>n M.Stöhr vom 16.03.23 zu Abw. STÖ2 aus DAkkS-Begutachtung 2022
- unter 2.3 Korrektur der Vorgehensweise bei Nichtkonformitäten</vt:lpwstr>
  </property>
  <property fmtid="{D5CDD505-2E9C-101B-9397-08002B2CF9AE}" pid="9" name="rox_Description_15">
    <vt:lpwstr> im Zuge der Bewertung (KLE1, Teil 3, Pkt.2)
- unter 2.7 Konkretisierung, dass in der 1. Überwachung alle räumlichen und in der</vt:lpwstr>
  </property>
  <property fmtid="{D5CDD505-2E9C-101B-9397-08002B2CF9AE}" pid="10" name="rox_Description_16">
    <vt:lpwstr> 2. Überwachung alle sachlichen Anforderungen per Fotodokumentation nachgewiesen werden müssen (KLE4, Punkt 1)
- Ausgabestand d</vt:lpwstr>
  </property>
  <property fmtid="{D5CDD505-2E9C-101B-9397-08002B2CF9AE}" pid="11" name="rox_Description_17">
    <vt:lpwstr>es Doks IAF MD2 gelöscht
2023-06-13, MPF
Rev.009
- aufgrund von Nachfragen der DAkkS Kap. 3.2 und Kap 10 noch einmal nachgesch</vt:lpwstr>
  </property>
  <property fmtid="{D5CDD505-2E9C-101B-9397-08002B2CF9AE}" pid="12" name="rox_Description_18">
    <vt:lpwstr>ärft (STÖ2+3, DAkkS Begut. 2022)
-&gt;3.2:  beschrieben was passiert, wenn Unterlagen nicht vollständig sind
-&gt; 10: Transfer von Z</vt:lpwstr>
  </property>
  <property fmtid="{D5CDD505-2E9C-101B-9397-08002B2CF9AE}" pid="13" name="rox_Description_19">
    <vt:lpwstr>ertifikaten genauer beschrieben (kann ohne Begehung durchgeführt werden)
- DAkkS 71 SD 6014 gelöscht, da Dokument zurückgezogen</vt:lpwstr>
  </property>
  <property fmtid="{D5CDD505-2E9C-101B-9397-08002B2CF9AE}" pid="14" name="rox_Description_2">
    <vt:lpwstr>rch JMO (Bearbeiter) und TL (Prüfer). MPF/ ABO haben lediglich die Revision im Dateinamen korrigiert.2024-02-27/MPF
Unter Pkt. </vt:lpwstr>
  </property>
  <property fmtid="{D5CDD505-2E9C-101B-9397-08002B2CF9AE}" pid="15" name="rox_Description_20">
    <vt:lpwstr>,  IAF MD 2 mit Ausgabestand angegeben
Rev.008
DAkkS Abweichung STÖ2,  Begutachtung 2022:
- Zusammenführung mit ID 1929 incl. </vt:lpwstr>
  </property>
  <property fmtid="{D5CDD505-2E9C-101B-9397-08002B2CF9AE}" pid="16" name="rox_Description_21">
    <vt:lpwstr>Ergänzung und Konkretisierung der Anforderungen und Aktualisierung von Begrifflichkeiten. -&gt; v.a. Kap. 3.2 Evaluierung
DAkkS A</vt:lpwstr>
  </property>
  <property fmtid="{D5CDD505-2E9C-101B-9397-08002B2CF9AE}" pid="17" name="rox_Description_22">
    <vt:lpwstr>bweichung STÖ3,  Begutachtung 2022:
- Streichung der Ausnahmeregelung für Rückdatierung von Zertifikaten (Kap. 3.5)
(- Reihenfo</vt:lpwstr>
  </property>
  <property fmtid="{D5CDD505-2E9C-101B-9397-08002B2CF9AE}" pid="18" name="rox_Description_23">
    <vt:lpwstr>lge der Angaben für das Zertifikat angepasst)
- Regelung, dass ausschließlich Ltg. u. Stv. der PQS für B/E autorisiert sind wur</vt:lpwstr>
  </property>
  <property fmtid="{D5CDD505-2E9C-101B-9397-08002B2CF9AE}" pid="19" name="rox_Description_24">
    <vt:lpwstr>de gestrichen (Hinweis 2 zu STÖ3)
- Korrekturmaßnahme zur Behebung d. CAPA 2021-08-04
- Übernahme der PA zur Prozessverbesserun</vt:lpwstr>
  </property>
  <property fmtid="{D5CDD505-2E9C-101B-9397-08002B2CF9AE}" pid="20" name="rox_Description_25">
    <vt:lpwstr>g aus ID 1929 unter 4.3
MPF, 2022-05-04
- Dok.typ von PB auf Dokument umgestellt werden, da dies auf der Webseite auch dem Kund</vt:lpwstr>
  </property>
  <property fmtid="{D5CDD505-2E9C-101B-9397-08002B2CF9AE}" pid="21" name="rox_Description_26">
    <vt:lpwstr>en zur Verfügung gestellt wird -&gt; entsprechend den anderen Antragsdokumenten in 2 spaltig formatiert
- Kap. 8 -&gt; Aufzählungen g</vt:lpwstr>
  </property>
  <property fmtid="{D5CDD505-2E9C-101B-9397-08002B2CF9AE}" pid="22" name="rox_Description_27">
    <vt:lpwstr>elöscht
Rev.007
Ergänzung nach Abweichung BAR 3/Begutachtung 02/2021
- Ausschluss der Option zum Verzicht auf die 2. BB bei Üb</vt:lpwstr>
  </property>
  <property fmtid="{D5CDD505-2E9C-101B-9397-08002B2CF9AE}" pid="23" name="rox_Description_28">
    <vt:lpwstr>erwachungen ergänzt
- Frist zum Versand der Daten an den GKV nach Beendigung von PQ's
Rev.006 
- Ergänzung Punkt 6 Überwachung</vt:lpwstr>
  </property>
  <property fmtid="{D5CDD505-2E9C-101B-9397-08002B2CF9AE}" pid="24" name="rox_Description_29">
    <vt:lpwstr> Punkt 4.4.3 Regelung zur Rückdatierung von Zertifikaten ergänzt
Rev.005 
- 4.2.4 gestrichen und in 4.3. integriert, Punkt 4.4</vt:lpwstr>
  </property>
  <property fmtid="{D5CDD505-2E9C-101B-9397-08002B2CF9AE}" pid="25" name="rox_Description_3">
    <vt:lpwstr>2.2 ergänzt: 
- eigenverantwortlich, fristgerecht
 mdc ermöglicht allen Kunden die Unterlagen elektronisch per Upload link einz</vt:lpwstr>
  </property>
  <property fmtid="{D5CDD505-2E9C-101B-9397-08002B2CF9AE}" pid="26" name="rox_Description_30">
    <vt:lpwstr>.1 präziziert, Redundanzen zu 4.3. gestrichen, Punkt 6: Klarstellung: "berwachung auch abhängig vom LE (Forderung der DAKKS vom</vt:lpwstr>
  </property>
  <property fmtid="{D5CDD505-2E9C-101B-9397-08002B2CF9AE}" pid="27" name="rox_Description_31">
    <vt:lpwstr> 27.12.2018)
Rev.004 
- Evaluation, Bewertung, Entscheidung neu gefasst; Überschriften Entscheidung, Dokumenation geändert / a</vt:lpwstr>
  </property>
  <property fmtid="{D5CDD505-2E9C-101B-9397-08002B2CF9AE}" pid="28" name="rox_Description_32">
    <vt:lpwstr>ntelle Zertifizierungsstelle Präqualifizierungsstelle eingefügt
JMO/09.07.18 - 4.4.2 zweiten Satz redaktionell geändert / Besch</vt:lpwstr>
  </property>
  <property fmtid="{D5CDD505-2E9C-101B-9397-08002B2CF9AE}" pid="29" name="rox_Description_33">
    <vt:lpwstr>werdeverfahren PQ gestrichen / Bearbeitung von Beschwerden und Einsprüchen aufgenommen
JMO/03.04.2018 - 4.2.3 Antragseingang / </vt:lpwstr>
  </property>
  <property fmtid="{D5CDD505-2E9C-101B-9397-08002B2CF9AE}" pid="30" name="rox_Description_34">
    <vt:lpwstr>-bewertung neu gefasst; 6. Überwachung+4.3 - präzisiert wann Betriebsbegehungen erforderlich sind</vt:lpwstr>
  </property>
  <property fmtid="{D5CDD505-2E9C-101B-9397-08002B2CF9AE}" pid="31" name="rox_Description_4">
    <vt:lpwstr>ureichen. Die elektronische Einreichung über externe Fremdsysteme ist ausgeschlossen./JMO
Rev.011 (wg. Anpassung in ID 3179 a</vt:lpwstr>
  </property>
  <property fmtid="{D5CDD505-2E9C-101B-9397-08002B2CF9AE}" pid="32" name="rox_Description_5">
    <vt:lpwstr>us Nachforderung DAkkS-Begutachtung 2023; KLE4, Teil 2)
Pkt. 2.7 - Anforderungen zu Bildnachweisen in den Überwachungen geänder</vt:lpwstr>
  </property>
  <property fmtid="{D5CDD505-2E9C-101B-9397-08002B2CF9AE}" pid="33" name="rox_Description_6">
    <vt:lpwstr>t:
- zur 1. Überwachung werden die ersten 50% der räumlichen und der sachlichen Anforderungen  und zur 2. Überwachung (bei nich</vt:lpwstr>
  </property>
  <property fmtid="{D5CDD505-2E9C-101B-9397-08002B2CF9AE}" pid="34" name="rox_Description_7">
    <vt:lpwstr>t begehungspflichtigen Versorgungsbereichen) die zweiten 50% der räumlichen und sachlichen  Anforderungen angefordert
Pkt 2.3 -</vt:lpwstr>
  </property>
  <property fmtid="{D5CDD505-2E9C-101B-9397-08002B2CF9AE}" pid="35" name="rox_Description_8">
    <vt:lpwstr> redaktionelle Änderungen:
 - zweiten Absatz entfernt, da dieser versehentlich aus einem Entwurf dort verblieben war
2023-12-21</vt:lpwstr>
  </property>
  <property fmtid="{D5CDD505-2E9C-101B-9397-08002B2CF9AE}" pid="36" name="rox_Description_9">
    <vt:lpwstr>/MPF
Rev.010 (Internes Audit PQ 2022, H2 und DAkkS-Begutachtung 2023; KLE1, Teil 3, Pkt.1+2
- unter Einleitung: Änderung Verfa</vt:lpwstr>
  </property>
  <property fmtid="{D5CDD505-2E9C-101B-9397-08002B2CF9AE}" pid="37" name="rox_DocPath">
    <vt:lpwstr>mdc QM-Dokumente/26 Präqualifizierung/</vt:lpwstr>
  </property>
  <property fmtid="{D5CDD505-2E9C-101B-9397-08002B2CF9AE}" pid="38" name="rox_DocType">
    <vt:lpwstr>Dokument</vt:lpwstr>
  </property>
  <property fmtid="{D5CDD505-2E9C-101B-9397-08002B2CF9AE}" pid="39" name="rox_Drittland">
    <vt:lpwstr>n.a.</vt:lpwstr>
  </property>
  <property fmtid="{D5CDD505-2E9C-101B-9397-08002B2CF9AE}" pid="40" name="rox_Export">
    <vt:lpwstr>Webseite Kunden</vt:lpwstr>
  </property>
  <property fmtid="{D5CDD505-2E9C-101B-9397-08002B2CF9AE}" pid="41" name="rox_FileName">
    <vt:lpwstr>1869_012_Verfahrensbeschreibung_Präqualifizierung.docx</vt:lpwstr>
  </property>
  <property fmtid="{D5CDD505-2E9C-101B-9397-08002B2CF9AE}" pid="42" name="rox_Hinweis">
    <vt:lpwstr/>
  </property>
  <property fmtid="{D5CDD505-2E9C-101B-9397-08002B2CF9AE}" pid="43" name="rox_ID">
    <vt:lpwstr>1869</vt:lpwstr>
  </property>
  <property fmtid="{D5CDD505-2E9C-101B-9397-08002B2CF9AE}" pid="44" name="rox_ISO17021">
    <vt:lpwstr>n.a.</vt:lpwstr>
  </property>
  <property fmtid="{D5CDD505-2E9C-101B-9397-08002B2CF9AE}" pid="45" name="rox_ISO17065">
    <vt:lpwstr>4.4. Nicht diskriminierende Bedingungen, 4.6. Öffentlich zugängliche Informationen, 7.01. Allgemeines, 7.02. Antrag, 7.03. Antr</vt:lpwstr>
  </property>
  <property fmtid="{D5CDD505-2E9C-101B-9397-08002B2CF9AE}" pid="46" name="rox_ISO17065_2">
    <vt:lpwstr>agsbewertung, 7.04. Evaluierung, 7.05. Bewertung, 7.06. Zertifizierungsentscheidung, 7.07. Zertifizierungsdokumentation, 7.08. </vt:lpwstr>
  </property>
  <property fmtid="{D5CDD505-2E9C-101B-9397-08002B2CF9AE}" pid="47" name="rox_ISO17065_3">
    <vt:lpwstr>Verzeichnis zertifizierter Produkte, 7.09. Überwachung, 7.10. Änderungen, die sich auf die Zertifizierung auswirken, 7.11. Been</vt:lpwstr>
  </property>
  <property fmtid="{D5CDD505-2E9C-101B-9397-08002B2CF9AE}" pid="48" name="rox_ISO17065_4">
    <vt:lpwstr>digung, Einschränkung, Aussetzung oder Zurückziehung der Zertifizierung</vt:lpwstr>
  </property>
  <property fmtid="{D5CDD505-2E9C-101B-9397-08002B2CF9AE}" pid="49" name="rox_IVDR">
    <vt:lpwstr>n.a.</vt:lpwstr>
  </property>
  <property fmtid="{D5CDD505-2E9C-101B-9397-08002B2CF9AE}" pid="50" name="rox_Language">
    <vt:lpwstr>Deutsch</vt:lpwstr>
  </property>
  <property fmtid="{D5CDD505-2E9C-101B-9397-08002B2CF9AE}" pid="51" name="rox_Language_SelKey">
    <vt:lpwstr>Deutsch</vt:lpwstr>
  </property>
  <property fmtid="{D5CDD505-2E9C-101B-9397-08002B2CF9AE}" pid="52" name="rox_MDR">
    <vt:lpwstr>n.a.</vt:lpwstr>
  </property>
  <property fmtid="{D5CDD505-2E9C-101B-9397-08002B2CF9AE}" pid="53" name="rox_Meta">
    <vt:lpwstr>58</vt:lpwstr>
  </property>
  <property fmtid="{D5CDD505-2E9C-101B-9397-08002B2CF9AE}" pid="54" name="rox_Meta0">
    <vt:lpwstr>&lt;fields&gt;&lt;Field id="rox_Size" caption="Dateigröße" orderid="19" /&gt;&lt;Field id="rox_ID" caption="ID" orderid="36" /&gt;&lt;Field id="rox_</vt:lpwstr>
  </property>
  <property fmtid="{D5CDD505-2E9C-101B-9397-08002B2CF9AE}" pid="55" name="rox_Meta1">
    <vt:lpwstr>Title" caption="Titel" orderid="1" /&gt;&lt;Field id="rox_Status" caption="Status" orderid="4" /&gt;&lt;Field id="rox_Revision" caption="Re</vt:lpwstr>
  </property>
  <property fmtid="{D5CDD505-2E9C-101B-9397-08002B2CF9AE}" pid="56" name="rox_Meta10">
    <vt:lpwstr>escription_14" caption="Änderungshistorie_14" orderid="49" /&gt;&lt;Field id="rox_Description_15" caption="Änderungshistorie_15" orde</vt:lpwstr>
  </property>
  <property fmtid="{D5CDD505-2E9C-101B-9397-08002B2CF9AE}" pid="57" name="rox_Meta11">
    <vt:lpwstr>rid="50" /&gt;&lt;Field id="rox_Description_16" caption="Änderungshistorie_16" orderid="51" /&gt;&lt;Field id="rox_Description_17" caption=</vt:lpwstr>
  </property>
  <property fmtid="{D5CDD505-2E9C-101B-9397-08002B2CF9AE}" pid="58" name="rox_Meta12">
    <vt:lpwstr>"Änderungshistorie_17" orderid="52" /&gt;&lt;Field id="rox_Description_18" caption="Änderungshistorie_18" orderid="53" /&gt;&lt;Field id="r</vt:lpwstr>
  </property>
  <property fmtid="{D5CDD505-2E9C-101B-9397-08002B2CF9AE}" pid="59" name="rox_Meta13">
    <vt:lpwstr>ox_Description_19" caption="Änderungshistorie_19" orderid="54" /&gt;&lt;Field id="rox_Description_20" caption="Änderungshistorie_20</vt:lpwstr>
  </property>
  <property fmtid="{D5CDD505-2E9C-101B-9397-08002B2CF9AE}" pid="60" name="rox_Meta14">
    <vt:lpwstr>" orderid="55" /&gt;&lt;Field id="rox_Description_21" caption="Änderungshistorie_21" orderid="56" /&gt;&lt;Field id="rox_Description_22" ca</vt:lpwstr>
  </property>
  <property fmtid="{D5CDD505-2E9C-101B-9397-08002B2CF9AE}" pid="61" name="rox_Meta15">
    <vt:lpwstr>ption="Änderungshistorie_22" orderid="57" /&gt;&lt;Field id="rox_Description_23" caption="Änderungshistorie_23" orderid="58" /&gt;&lt;Fiel</vt:lpwstr>
  </property>
  <property fmtid="{D5CDD505-2E9C-101B-9397-08002B2CF9AE}" pid="62" name="rox_Meta16">
    <vt:lpwstr>d id="rox_Description_24" caption="Änderungshistorie_24" orderid="59" /&gt;&lt;Field id="rox_Description_25" caption="Änderungshistor</vt:lpwstr>
  </property>
  <property fmtid="{D5CDD505-2E9C-101B-9397-08002B2CF9AE}" pid="63" name="rox_Meta17">
    <vt:lpwstr>ie_25" orderid="60" /&gt;&lt;Field id="rox_Description_26" caption="Änderungshistorie_26" orderid="61" /&gt;&lt;Field id="rox_Description_2</vt:lpwstr>
  </property>
  <property fmtid="{D5CDD505-2E9C-101B-9397-08002B2CF9AE}" pid="64" name="rox_Meta18">
    <vt:lpwstr>7" caption="Änderungshistorie_27" orderid="62" /&gt;&lt;Field id="rox_Description_28" caption="Änderungshistorie_28" orderid="63" /&gt;&lt;</vt:lpwstr>
  </property>
  <property fmtid="{D5CDD505-2E9C-101B-9397-08002B2CF9AE}" pid="65" name="rox_Meta19">
    <vt:lpwstr>Field id="rox_Description_29" caption="Änderungshistorie_29" orderid="64" /&gt;&lt;Field id="rox_Description_30" caption="Änderungshi</vt:lpwstr>
  </property>
  <property fmtid="{D5CDD505-2E9C-101B-9397-08002B2CF9AE}" pid="66" name="rox_Meta2">
    <vt:lpwstr>vision" orderid="5" /&gt;&lt;Field id="rox_Description" caption="Änderungshistorie" orderid="6" /&gt;&lt;Field id="rox_Description_2" capti</vt:lpwstr>
  </property>
  <property fmtid="{D5CDD505-2E9C-101B-9397-08002B2CF9AE}" pid="67" name="rox_Meta20">
    <vt:lpwstr>storie_30" orderid="65" /&gt;&lt;Field id="rox_Description_31" caption="Änderungshistorie_31" orderid="66" /&gt;&lt;Field id="rox_Descripti</vt:lpwstr>
  </property>
  <property fmtid="{D5CDD505-2E9C-101B-9397-08002B2CF9AE}" pid="68" name="rox_Meta21">
    <vt:lpwstr>on_32" caption="Änderungshistorie_32" orderid="67" /&gt;&lt;Field id="rox_Description_33" caption="Änderungshistorie_33" orderid="68</vt:lpwstr>
  </property>
  <property fmtid="{D5CDD505-2E9C-101B-9397-08002B2CF9AE}" pid="69" name="rox_Meta22">
    <vt:lpwstr>" /&gt;&lt;Field id="rox_Description_34" caption="Änderungshistorie_34" orderid="69" /&gt;&lt;Field id="rox_DocType" caption="Dokumententyp</vt:lpwstr>
  </property>
  <property fmtid="{D5CDD505-2E9C-101B-9397-08002B2CF9AE}" pid="70" name="rox_Meta23">
    <vt:lpwstr>" orderid="18" /&gt;&lt;Field id="rox_UpdatedBy" caption="Geändert durch" orderid="23" /&gt;&lt;Field id="rox_UpdatedAt" caption="Geändert</vt:lpwstr>
  </property>
  <property fmtid="{D5CDD505-2E9C-101B-9397-08002B2CF9AE}" pid="71" name="rox_Meta24">
    <vt:lpwstr>" orderid="22" /&gt;&lt;Field id="rox_DocPath" caption="Pfad" orderid="70" /&gt;&lt;Field id="rox_ParentDocTitle" caption="Ordner" orderid=</vt:lpwstr>
  </property>
  <property fmtid="{D5CDD505-2E9C-101B-9397-08002B2CF9AE}" pid="72" name="rox_Meta25">
    <vt:lpwstr>"71" /&gt;&lt;Field id="rox_FileName" caption="Dateiname" orderid="3" /&gt;&lt;Field id="rox_Bereichszuordnung" caption="Zuordnung" orderid</vt:lpwstr>
  </property>
  <property fmtid="{D5CDD505-2E9C-101B-9397-08002B2CF9AE}" pid="73" name="rox_Meta26">
    <vt:lpwstr>="2" /&gt;&lt;Field id="rox_Hinweis" caption="Hinweis" orderid="7" /&gt;&lt;Field id="rox_Wiedervorlage" caption="Wiedervorlage" orderid="8</vt:lpwstr>
  </property>
  <property fmtid="{D5CDD505-2E9C-101B-9397-08002B2CF9AE}" pid="74" name="rox_Meta27">
    <vt:lpwstr>" /&gt;&lt;Field id="rox_ISO17021" caption="ISO 17021" orderid="9" /&gt;&lt;Field id="rox_ISO17065" caption="ISO 17065" orderid="10" /&gt;&lt;Fie</vt:lpwstr>
  </property>
  <property fmtid="{D5CDD505-2E9C-101B-9397-08002B2CF9AE}" pid="75" name="rox_Meta28">
    <vt:lpwstr>ld id="rox_ISO17065_2" caption="ISO 17065_2" orderid="72" /&gt;&lt;Field id="rox_ISO17065_3" caption="ISO 17065_3" orderid="73" /&gt;&lt;Fi</vt:lpwstr>
  </property>
  <property fmtid="{D5CDD505-2E9C-101B-9397-08002B2CF9AE}" pid="76" name="rox_Meta29">
    <vt:lpwstr>eld id="rox_ISO17065_4" caption="ISO 17065_4" orderid="74" /&gt;&lt;Field id="rox_MDR" caption="MDR" orderid="11" /&gt;&lt;Field id="rox_IV</vt:lpwstr>
  </property>
  <property fmtid="{D5CDD505-2E9C-101B-9397-08002B2CF9AE}" pid="77" name="rox_Meta3">
    <vt:lpwstr>on="Änderungshistorie_2" orderid="37" /&gt;&lt;Field id="rox_Description_3" caption="Änderungshistorie_3" orderid="38" /&gt;&lt;Field id="r</vt:lpwstr>
  </property>
  <property fmtid="{D5CDD505-2E9C-101B-9397-08002B2CF9AE}" pid="78" name="rox_Meta30">
    <vt:lpwstr>DR" caption="IVDR" orderid="12" /&gt;&lt;Field id="rox_Drittland" caption="Drittland" orderid="13" /&gt;&lt;Field id="rox_Export" caption="</vt:lpwstr>
  </property>
  <property fmtid="{D5CDD505-2E9C-101B-9397-08002B2CF9AE}" pid="79" name="rox_Meta31">
    <vt:lpwstr>Export" orderid="15" /&gt;&lt;Field id="rox_Pruefverfahren" caption="SAGE Prozess/Grundlage" orderid="16" /&gt;&lt;Field id="rox_Language</vt:lpwstr>
  </property>
  <property fmtid="{D5CDD505-2E9C-101B-9397-08002B2CF9AE}" pid="80" name="rox_Meta32">
    <vt:lpwstr>" caption="Sprache" orderid="17" /&gt;&lt;Field id="rox_Language_SelKey" caption="Sprache (Sprache)" orderid="75" /&gt;&lt;Field id="rox_st</vt:lpwstr>
  </property>
  <property fmtid="{D5CDD505-2E9C-101B-9397-08002B2CF9AE}" pid="81" name="rox_Meta33">
    <vt:lpwstr>ep_bearbeitung_d" caption="Bearbeitung abgeschlossen am" orderid="24" /&gt;&lt;Field id="rox_step_bearbeitung_u" caption="Bearbeitun</vt:lpwstr>
  </property>
  <property fmtid="{D5CDD505-2E9C-101B-9397-08002B2CF9AE}" pid="82" name="rox_Meta34">
    <vt:lpwstr>g abgeschlossen durch" orderid="25" /&gt;&lt;Field id="rox_step_bearbeiter" caption="Bearbeitet von" type="roleconcat" orderid="26"&gt;P</vt:lpwstr>
  </property>
  <property fmtid="{D5CDD505-2E9C-101B-9397-08002B2CF9AE}" pid="83" name="rox_Meta35">
    <vt:lpwstr>fitzner, Martina - 27.02.2024 10:54:12&lt;/Field&gt;&lt;Field id="rox_step_pruefung_d" caption="Inhaltliche Prüfung abgeschlossen am" or</vt:lpwstr>
  </property>
  <property fmtid="{D5CDD505-2E9C-101B-9397-08002B2CF9AE}" pid="84" name="rox_Meta36">
    <vt:lpwstr>derid="27" /&gt;&lt;Field id="rox_step_pruefung_u" caption="Inhaltliche Prüfung abgeschlossen durch" orderid="28" /&gt;&lt;Field id="rox_st</vt:lpwstr>
  </property>
  <property fmtid="{D5CDD505-2E9C-101B-9397-08002B2CF9AE}" pid="85" name="rox_Meta37">
    <vt:lpwstr>ep_pruefer" caption="Geprüft von" type="roleconcat" orderid="29"&gt;Böhacker, Andreas - 27.02.2024 11:35:48&lt;/Field&gt;&lt;Field id="rox_</vt:lpwstr>
  </property>
  <property fmtid="{D5CDD505-2E9C-101B-9397-08002B2CF9AE}" pid="86" name="rox_Meta38">
    <vt:lpwstr>step_freigabe_d" caption="Formale Freigabe abgeschlossen am" orderid="30" /&gt;&lt;Field id="rox_step_freigabe_u" caption="Formale Fr</vt:lpwstr>
  </property>
  <property fmtid="{D5CDD505-2E9C-101B-9397-08002B2CF9AE}" pid="87" name="rox_Meta39">
    <vt:lpwstr>eigabe abgeschlossen durch" orderid="31" /&gt;&lt;Field id="rox_step_freigeber" caption="Freigegeben durch" type="roleconcat" orderid</vt:lpwstr>
  </property>
  <property fmtid="{D5CDD505-2E9C-101B-9397-08002B2CF9AE}" pid="88" name="rox_Meta4">
    <vt:lpwstr>ox_Description_4" caption="Änderungshistorie_4" orderid="39" /&gt;&lt;Field id="rox_Description_5" caption="Änderungshistorie_5" orde</vt:lpwstr>
  </property>
  <property fmtid="{D5CDD505-2E9C-101B-9397-08002B2CF9AE}" pid="89" name="rox_Meta40">
    <vt:lpwstr>="32"&gt;Böhacker, Andreas - 27.02.2024 11:36:07&lt;/Field&gt;&lt;Field id="rox_ReferencesTo" caption="Referenzen auf" type="RefTo" url="ht</vt:lpwstr>
  </property>
  <property fmtid="{D5CDD505-2E9C-101B-9397-08002B2CF9AE}" pid="90" name="rox_Meta41">
    <vt:lpwstr>tps://mdc-ce.roXtra.com/roXtra" colcount="1" orderid="76"&gt;&lt;Ref fileID="395" fileName="Allgemeine Geschäftsbedingungen"&gt;&lt;Columns</vt:lpwstr>
  </property>
  <property fmtid="{D5CDD505-2E9C-101B-9397-08002B2CF9AE}" pid="91" name="rox_Meta42">
    <vt:lpwstr>&gt;&lt;Col ishyperlink="true"&gt;Allgemeine Geschäftsbedingungen&lt;/Col&gt;&lt;/Columns&gt;&lt;/Ref&gt;&lt;Ref fileID="401" fileName="Allgemeine Zertifizie</vt:lpwstr>
  </property>
  <property fmtid="{D5CDD505-2E9C-101B-9397-08002B2CF9AE}" pid="92" name="rox_Meta43">
    <vt:lpwstr>rungsregeln"&gt;&lt;Columns&gt;&lt;Col ishyperlink="true"&gt;Allgemeine Zertifizierungsregeln&lt;/Col&gt;&lt;/Columns&gt;&lt;/Ref&gt;&lt;Ref fileID="1154" fileName</vt:lpwstr>
  </property>
  <property fmtid="{D5CDD505-2E9C-101B-9397-08002B2CF9AE}" pid="93" name="rox_Meta44">
    <vt:lpwstr>="Auftrag zur Begehung - Präqualifizierung"&gt;&lt;Columns&gt;&lt;Col ishyperlink="true"&gt;Auftrag zur Begehung - Präqualifizierung&lt;/Col&gt;&lt;/Co</vt:lpwstr>
  </property>
  <property fmtid="{D5CDD505-2E9C-101B-9397-08002B2CF9AE}" pid="94" name="rox_Meta45">
    <vt:lpwstr>lumns&gt;&lt;/Ref&gt;&lt;Ref fileID="565" fileName="Bearbeitung von Beschwerden und Einsprüchen"&gt;&lt;Columns&gt;&lt;Col ishyperlink="true"&gt;Bearbeitu</vt:lpwstr>
  </property>
  <property fmtid="{D5CDD505-2E9C-101B-9397-08002B2CF9AE}" pid="95" name="rox_Meta46">
    <vt:lpwstr>ng von Beschwerden und Einsprüchen&lt;/Col&gt;&lt;/Columns&gt;&lt;/Ref&gt;&lt;Ref fileID="1379" fileName="Fragebogen fachliche Leitung(en) für Präqu</vt:lpwstr>
  </property>
  <property fmtid="{D5CDD505-2E9C-101B-9397-08002B2CF9AE}" pid="96" name="rox_Meta47">
    <vt:lpwstr>alifizierungsverfahren"&gt;&lt;Columns&gt;&lt;Col ishyperlink="true"&gt;Fragebogen fachliche Leitung(en) für Präqualifizierungsverfahren&lt;/Col&gt;</vt:lpwstr>
  </property>
  <property fmtid="{D5CDD505-2E9C-101B-9397-08002B2CF9AE}" pid="97" name="rox_Meta48">
    <vt:lpwstr>&lt;/Columns&gt;&lt;/Ref&gt;&lt;Ref fileID="3382" fileName="Muster_Präqualifizierungsbescheinigung"&gt;&lt;Columns&gt;&lt;Col ishyperlink="true"&gt;Muster_Pr</vt:lpwstr>
  </property>
  <property fmtid="{D5CDD505-2E9C-101B-9397-08002B2CF9AE}" pid="98" name="rox_Meta49">
    <vt:lpwstr>äqualifizierungsbescheinigung&lt;/Col&gt;&lt;/Columns&gt;&lt;/Ref&gt;&lt;Ref fileID="2013" fileName="Preisliste Präqualifizierung"&gt;&lt;Columns&gt;&lt;Col ish</vt:lpwstr>
  </property>
  <property fmtid="{D5CDD505-2E9C-101B-9397-08002B2CF9AE}" pid="99" name="rox_Meta5">
    <vt:lpwstr>rid="40" /&gt;&lt;Field id="rox_Description_6" caption="Änderungshistorie_6" orderid="41" /&gt;&lt;Field id="rox_Description_7" caption="Än</vt:lpwstr>
  </property>
  <property fmtid="{D5CDD505-2E9C-101B-9397-08002B2CF9AE}" pid="100" name="rox_Meta50">
    <vt:lpwstr>yperlink="true"&gt;Preisliste Präqualifizierung&lt;/Col&gt;&lt;/Columns&gt;&lt;/Ref&gt;&lt;Ref fileID="1382" fileName="Selbstverpflichtungserklärung fü</vt:lpwstr>
  </property>
  <property fmtid="{D5CDD505-2E9C-101B-9397-08002B2CF9AE}" pid="101" name="rox_Meta51">
    <vt:lpwstr>r Präqualifizierungsverfahren"&gt;&lt;Columns&gt;&lt;Col ishyperlink="true"&gt;Selbstverpflichtungserklärung für Präqualifizierungsverfahren&lt;/</vt:lpwstr>
  </property>
  <property fmtid="{D5CDD505-2E9C-101B-9397-08002B2CF9AE}" pid="102" name="rox_Meta52">
    <vt:lpwstr>Col&gt;&lt;/Columns&gt;&lt;/Ref&gt;&lt;Ref fileID="561" fileName="Verwendung der Zertifizierung, des Zertifikates und des Zertifizierungszeichens</vt:lpwstr>
  </property>
  <property fmtid="{D5CDD505-2E9C-101B-9397-08002B2CF9AE}" pid="103" name="rox_Meta53">
    <vt:lpwstr>"&gt;&lt;Columns&gt;&lt;Col ishyperlink="true"&gt;Verwendung der Zertifizierung, des Zertifikates und des Zertifizierungszeichens&lt;/Col&gt;&lt;/Colum</vt:lpwstr>
  </property>
  <property fmtid="{D5CDD505-2E9C-101B-9397-08002B2CF9AE}" pid="104" name="rox_Meta54">
    <vt:lpwstr>ns&gt;&lt;/Ref&gt;&lt;/Field&gt;&lt;GlobalFieldHandler url="https://mdc-ce.roXtra.com/roXtra/doc/DownloadGlobalFieldHandler.ashx?token=eyJhbGciOi</vt:lpwstr>
  </property>
  <property fmtid="{D5CDD505-2E9C-101B-9397-08002B2CF9AE}" pid="105" name="rox_Meta55">
    <vt:lpwstr>JIUzI1NiIsImtpZCI6IjNlMjk3MDA2LTMwMmUtNGI4Ni05MTUxLTc3YWYzOWRhYjg0MyIsInR5cCI6IkpXVCJ9.eyJVc2VySUQiOiIyNDYiLCJyZXF1ZXN0ZWRCeUNs</vt:lpwstr>
  </property>
  <property fmtid="{D5CDD505-2E9C-101B-9397-08002B2CF9AE}" pid="106" name="rox_Meta56">
    <vt:lpwstr>aWVudElEIjoiM2UyOTcwMDYtMzAyZS00Yjg2LTkxNTEtNzdhZjM5ZGFiODQzIiwibmJmIjoxNzA5MTQ2NzA0LCJleHAiOjE3MDkxNTAzMDQsImlhdCI6MTcwOTE0Njc</vt:lpwstr>
  </property>
  <property fmtid="{D5CDD505-2E9C-101B-9397-08002B2CF9AE}" pid="107" name="rox_Meta57">
    <vt:lpwstr>wNCwiaXNzIjoicm9YdHJhIn0.EZWEAlwkL-saZtATLefu8BwsZXU2Fu_-N7XRq24MAjQ" /&gt;&lt;/fields&gt;</vt:lpwstr>
  </property>
  <property fmtid="{D5CDD505-2E9C-101B-9397-08002B2CF9AE}" pid="108" name="rox_Meta6">
    <vt:lpwstr>derungshistorie_7" orderid="42" /&gt;&lt;Field id="rox_Description_8" caption="Änderungshistorie_8" orderid="43" /&gt;&lt;Field id="rox_Des</vt:lpwstr>
  </property>
  <property fmtid="{D5CDD505-2E9C-101B-9397-08002B2CF9AE}" pid="109" name="rox_Meta7">
    <vt:lpwstr>cription_9" caption="Änderungshistorie_9" orderid="44" /&gt;&lt;Field id="rox_Description_10" caption="Änderungshistorie_10" orderid=</vt:lpwstr>
  </property>
  <property fmtid="{D5CDD505-2E9C-101B-9397-08002B2CF9AE}" pid="110" name="rox_Meta8">
    <vt:lpwstr>"45" /&gt;&lt;Field id="rox_Description_11" caption="Änderungshistorie_11" orderid="46" /&gt;&lt;Field id="rox_Description_12" caption="Änd</vt:lpwstr>
  </property>
  <property fmtid="{D5CDD505-2E9C-101B-9397-08002B2CF9AE}" pid="111" name="rox_Meta9">
    <vt:lpwstr>erungshistorie_12" orderid="47" /&gt;&lt;Field id="rox_Description_13" caption="Änderungshistorie_13" orderid="48" /&gt;&lt;Field id="rox_D</vt:lpwstr>
  </property>
  <property fmtid="{D5CDD505-2E9C-101B-9397-08002B2CF9AE}" pid="112" name="rox_ParentDocTitle">
    <vt:lpwstr>26 Präqualifizierung</vt:lpwstr>
  </property>
  <property fmtid="{D5CDD505-2E9C-101B-9397-08002B2CF9AE}" pid="113" name="rox_Pruefverfahren">
    <vt:lpwstr>n.a.</vt:lpwstr>
  </property>
  <property fmtid="{D5CDD505-2E9C-101B-9397-08002B2CF9AE}" pid="114" name="rox_ReferencesTo">
    <vt:lpwstr>...</vt:lpwstr>
  </property>
  <property fmtid="{D5CDD505-2E9C-101B-9397-08002B2CF9AE}" pid="115" name="rox_Revision">
    <vt:lpwstr>012/02.2024</vt:lpwstr>
  </property>
  <property fmtid="{D5CDD505-2E9C-101B-9397-08002B2CF9AE}" pid="116" name="rox_Size">
    <vt:lpwstr>61580</vt:lpwstr>
  </property>
  <property fmtid="{D5CDD505-2E9C-101B-9397-08002B2CF9AE}" pid="117" name="rox_Status">
    <vt:lpwstr>freigegeben</vt:lpwstr>
  </property>
  <property fmtid="{D5CDD505-2E9C-101B-9397-08002B2CF9AE}" pid="118" name="rox_step_bearbeiter">
    <vt:lpwstr>Pfitzner, Martina...</vt:lpwstr>
  </property>
  <property fmtid="{D5CDD505-2E9C-101B-9397-08002B2CF9AE}" pid="119" name="rox_step_bearbeitung_d">
    <vt:lpwstr>27.02.2024</vt:lpwstr>
  </property>
  <property fmtid="{D5CDD505-2E9C-101B-9397-08002B2CF9AE}" pid="120" name="rox_step_bearbeitung_u">
    <vt:lpwstr>Pfitzner, Martina</vt:lpwstr>
  </property>
  <property fmtid="{D5CDD505-2E9C-101B-9397-08002B2CF9AE}" pid="121" name="rox_step_freigabe_d">
    <vt:lpwstr>27.02.2024</vt:lpwstr>
  </property>
  <property fmtid="{D5CDD505-2E9C-101B-9397-08002B2CF9AE}" pid="122" name="rox_step_freigabe_u">
    <vt:lpwstr>Böhacker, Andreas</vt:lpwstr>
  </property>
  <property fmtid="{D5CDD505-2E9C-101B-9397-08002B2CF9AE}" pid="123" name="rox_step_freigeber">
    <vt:lpwstr>Böhacker, Andreas...</vt:lpwstr>
  </property>
  <property fmtid="{D5CDD505-2E9C-101B-9397-08002B2CF9AE}" pid="124" name="rox_step_pruefer">
    <vt:lpwstr>Böhacker, Andreas...</vt:lpwstr>
  </property>
  <property fmtid="{D5CDD505-2E9C-101B-9397-08002B2CF9AE}" pid="125" name="rox_step_pruefung_d">
    <vt:lpwstr>27.02.2024</vt:lpwstr>
  </property>
  <property fmtid="{D5CDD505-2E9C-101B-9397-08002B2CF9AE}" pid="126" name="rox_step_pruefung_u">
    <vt:lpwstr>Böhacker, Andreas</vt:lpwstr>
  </property>
  <property fmtid="{D5CDD505-2E9C-101B-9397-08002B2CF9AE}" pid="127" name="rox_Title">
    <vt:lpwstr>Verfahrensbeschreibung Präqualifizierung</vt:lpwstr>
  </property>
  <property fmtid="{D5CDD505-2E9C-101B-9397-08002B2CF9AE}" pid="128" name="rox_UpdatedAt">
    <vt:lpwstr>27.02.2024</vt:lpwstr>
  </property>
  <property fmtid="{D5CDD505-2E9C-101B-9397-08002B2CF9AE}" pid="129" name="rox_UpdatedBy">
    <vt:lpwstr>Pfitzner, Martina</vt:lpwstr>
  </property>
  <property fmtid="{D5CDD505-2E9C-101B-9397-08002B2CF9AE}" pid="130" name="rox_Wiedervorlage">
    <vt:lpwstr>27.02.2029</vt:lpwstr>
  </property>
</Properties>
</file>